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256" w:rsidRPr="007E1F08" w:rsidRDefault="00D27256" w:rsidP="00717FA8">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right"/>
        <w:outlineLvl w:val="0"/>
        <w:rPr>
          <w:rFonts w:ascii="Times New Roman" w:eastAsia="Times New Roman" w:hAnsi="Times New Roman" w:cs="Times New Roman"/>
          <w:b/>
          <w:bCs/>
          <w:kern w:val="36"/>
          <w:sz w:val="32"/>
          <w:szCs w:val="48"/>
          <w:lang w:eastAsia="fr-FR"/>
        </w:rPr>
      </w:pPr>
      <w:r>
        <w:rPr>
          <w:rFonts w:ascii="Times New Roman" w:eastAsia="Times New Roman" w:hAnsi="Times New Roman" w:cs="Times New Roman"/>
          <w:b/>
          <w:bCs/>
          <w:kern w:val="36"/>
          <w:sz w:val="32"/>
          <w:szCs w:val="48"/>
          <w:lang w:eastAsia="fr-FR"/>
        </w:rPr>
        <w:t>Curling</w:t>
      </w:r>
      <w:r w:rsidRPr="007E1F08">
        <w:rPr>
          <w:rFonts w:ascii="Times New Roman" w:eastAsia="Times New Roman" w:hAnsi="Times New Roman" w:cs="Times New Roman"/>
          <w:b/>
          <w:bCs/>
          <w:kern w:val="36"/>
          <w:sz w:val="32"/>
          <w:szCs w:val="48"/>
          <w:lang w:eastAsia="fr-FR"/>
        </w:rPr>
        <w:t xml:space="preserve"> aux </w:t>
      </w:r>
      <w:r>
        <w:rPr>
          <w:rFonts w:ascii="Times New Roman" w:eastAsia="Times New Roman" w:hAnsi="Times New Roman" w:cs="Times New Roman"/>
          <w:b/>
          <w:bCs/>
          <w:kern w:val="36"/>
          <w:sz w:val="32"/>
          <w:szCs w:val="48"/>
          <w:lang w:eastAsia="fr-FR"/>
        </w:rPr>
        <w:t xml:space="preserve">JO </w:t>
      </w:r>
      <w:r w:rsidR="00717FA8">
        <w:rPr>
          <w:rFonts w:ascii="Times New Roman" w:eastAsia="Times New Roman" w:hAnsi="Times New Roman" w:cs="Times New Roman"/>
          <w:b/>
          <w:bCs/>
          <w:kern w:val="36"/>
          <w:sz w:val="32"/>
          <w:szCs w:val="48"/>
          <w:lang w:eastAsia="fr-FR"/>
        </w:rPr>
        <w:t xml:space="preserve">                               Tâche complexe</w:t>
      </w:r>
    </w:p>
    <w:tbl>
      <w:tblPr>
        <w:tblStyle w:val="Grilledutableau"/>
        <w:tblW w:w="0" w:type="auto"/>
        <w:tblLook w:val="04A0" w:firstRow="1" w:lastRow="0" w:firstColumn="1" w:lastColumn="0" w:noHBand="0" w:noVBand="1"/>
      </w:tblPr>
      <w:tblGrid>
        <w:gridCol w:w="8214"/>
        <w:gridCol w:w="2774"/>
      </w:tblGrid>
      <w:tr w:rsidR="00D27256" w:rsidTr="00D27256">
        <w:tc>
          <w:tcPr>
            <w:tcW w:w="8755" w:type="dxa"/>
          </w:tcPr>
          <w:p w:rsidR="00203879" w:rsidRPr="00203879" w:rsidRDefault="00203879" w:rsidP="00D27256">
            <w:pPr>
              <w:rPr>
                <w:i/>
                <w:sz w:val="12"/>
              </w:rPr>
            </w:pPr>
          </w:p>
          <w:p w:rsidR="00203879" w:rsidRDefault="00203879" w:rsidP="002C6942">
            <w:pPr>
              <w:jc w:val="both"/>
            </w:pPr>
            <w:r>
              <w:rPr>
                <w:i/>
              </w:rPr>
              <w:t xml:space="preserve">   </w:t>
            </w:r>
            <w:r w:rsidR="002C6942" w:rsidRPr="002C6942">
              <w:rPr>
                <w:i/>
              </w:rPr>
              <w:t xml:space="preserve">Le curling est un </w:t>
            </w:r>
            <w:hyperlink r:id="rId5" w:tooltip="Sport" w:history="1">
              <w:r w:rsidR="002C6942" w:rsidRPr="002C6942">
                <w:rPr>
                  <w:i/>
                </w:rPr>
                <w:t>sport</w:t>
              </w:r>
            </w:hyperlink>
            <w:r w:rsidR="002C6942" w:rsidRPr="002C6942">
              <w:rPr>
                <w:i/>
              </w:rPr>
              <w:t xml:space="preserve"> de précision pratiqué sur la </w:t>
            </w:r>
            <w:hyperlink r:id="rId6" w:tooltip="Glace" w:history="1">
              <w:r w:rsidR="002C6942" w:rsidRPr="002C6942">
                <w:rPr>
                  <w:i/>
                </w:rPr>
                <w:t>glace</w:t>
              </w:r>
            </w:hyperlink>
            <w:r w:rsidR="002C6942" w:rsidRPr="002C6942">
              <w:rPr>
                <w:i/>
              </w:rPr>
              <w:t xml:space="preserve"> avec des pierres en </w:t>
            </w:r>
            <w:hyperlink r:id="rId7" w:tooltip="Granite" w:history="1">
              <w:r w:rsidR="002C6942" w:rsidRPr="002C6942">
                <w:rPr>
                  <w:i/>
                </w:rPr>
                <w:t>granite</w:t>
              </w:r>
            </w:hyperlink>
            <w:r w:rsidR="002C6942" w:rsidRPr="002C6942">
              <w:rPr>
                <w:i/>
              </w:rPr>
              <w:t>, taillées et polies selon un gabarit international. Le but est de placer les pierres le plus près possible d'une cible circulaire dessinée sur la glace, appelée la maison</w:t>
            </w:r>
            <w:r w:rsidR="002C6942">
              <w:t>.</w:t>
            </w:r>
          </w:p>
          <w:p w:rsidR="002C6942" w:rsidRPr="00D27256" w:rsidRDefault="002C6942" w:rsidP="002C6942">
            <w:pPr>
              <w:jc w:val="both"/>
              <w:rPr>
                <w:i/>
              </w:rPr>
            </w:pPr>
            <w:r w:rsidRPr="002C6942">
              <w:rPr>
                <w:i/>
              </w:rPr>
              <w:t xml:space="preserve">Le curling est un sport officiel olympique </w:t>
            </w:r>
            <w:r>
              <w:rPr>
                <w:i/>
              </w:rPr>
              <w:t>depuis</w:t>
            </w:r>
            <w:r w:rsidRPr="002C6942">
              <w:rPr>
                <w:i/>
              </w:rPr>
              <w:t xml:space="preserve"> </w:t>
            </w:r>
            <w:hyperlink r:id="rId8" w:tooltip="Curling aux Jeux olympiques de 1924" w:history="1">
              <w:r w:rsidRPr="002C6942">
                <w:rPr>
                  <w:i/>
                </w:rPr>
                <w:t>1924</w:t>
              </w:r>
            </w:hyperlink>
            <w:r>
              <w:rPr>
                <w:i/>
              </w:rPr>
              <w:t>.</w:t>
            </w:r>
          </w:p>
          <w:p w:rsidR="00203879" w:rsidRPr="00203879" w:rsidRDefault="00203879" w:rsidP="00203879">
            <w:pPr>
              <w:pStyle w:val="NormalWeb"/>
              <w:spacing w:before="240" w:beforeAutospacing="0" w:after="240" w:afterAutospacing="0"/>
              <w:jc w:val="right"/>
              <w:rPr>
                <w:sz w:val="20"/>
              </w:rPr>
            </w:pPr>
            <w:r w:rsidRPr="007E1F08">
              <w:rPr>
                <w:sz w:val="20"/>
              </w:rPr>
              <w:t xml:space="preserve">Source : </w:t>
            </w:r>
            <w:hyperlink r:id="rId9" w:history="1">
              <w:r w:rsidRPr="00583E4A">
                <w:rPr>
                  <w:rStyle w:val="Lienhypertexte"/>
                  <w:sz w:val="20"/>
                </w:rPr>
                <w:t>https://fr.wikipedia.org/wiki/Curling</w:t>
              </w:r>
            </w:hyperlink>
          </w:p>
        </w:tc>
        <w:tc>
          <w:tcPr>
            <w:tcW w:w="2157" w:type="dxa"/>
            <w:vAlign w:val="center"/>
          </w:tcPr>
          <w:p w:rsidR="00203879" w:rsidRPr="00203879" w:rsidRDefault="00203879" w:rsidP="00D27256">
            <w:pPr>
              <w:jc w:val="center"/>
              <w:rPr>
                <w:noProof/>
                <w:sz w:val="12"/>
                <w:lang w:eastAsia="fr-FR"/>
              </w:rPr>
            </w:pPr>
          </w:p>
          <w:p w:rsidR="00D27256" w:rsidRDefault="00D27256" w:rsidP="00D27256">
            <w:pPr>
              <w:jc w:val="center"/>
            </w:pPr>
            <w:r>
              <w:rPr>
                <w:noProof/>
                <w:lang w:eastAsia="fr-FR"/>
              </w:rPr>
              <w:drawing>
                <wp:inline distT="0" distB="0" distL="0" distR="0">
                  <wp:extent cx="1624410" cy="94350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636591" cy="950583"/>
                          </a:xfrm>
                          <a:prstGeom prst="rect">
                            <a:avLst/>
                          </a:prstGeom>
                          <a:noFill/>
                          <a:ln w="9525">
                            <a:noFill/>
                            <a:miter lim="800000"/>
                            <a:headEnd/>
                            <a:tailEnd/>
                          </a:ln>
                        </pic:spPr>
                      </pic:pic>
                    </a:graphicData>
                  </a:graphic>
                </wp:inline>
              </w:drawing>
            </w:r>
          </w:p>
          <w:p w:rsidR="00203879" w:rsidRPr="00203879" w:rsidRDefault="00203879" w:rsidP="00203879">
            <w:pPr>
              <w:ind w:left="33" w:right="140"/>
              <w:jc w:val="both"/>
              <w:rPr>
                <w:sz w:val="16"/>
              </w:rPr>
            </w:pPr>
            <w:r w:rsidRPr="00203879">
              <w:rPr>
                <w:sz w:val="14"/>
              </w:rPr>
              <w:t>L’équipe suédoise qui remporta cette compétition aux Jeux olympiques d’hiver de 2010, à Vancouver.</w:t>
            </w:r>
          </w:p>
        </w:tc>
      </w:tr>
    </w:tbl>
    <w:p w:rsidR="00D27256" w:rsidRDefault="00D27256" w:rsidP="00B60935">
      <w:pPr>
        <w:spacing w:after="0"/>
      </w:pPr>
    </w:p>
    <w:tbl>
      <w:tblPr>
        <w:tblStyle w:val="Grilledutableau"/>
        <w:tblW w:w="0" w:type="auto"/>
        <w:tblLook w:val="04A0" w:firstRow="1" w:lastRow="0" w:firstColumn="1" w:lastColumn="0" w:noHBand="0" w:noVBand="1"/>
      </w:tblPr>
      <w:tblGrid>
        <w:gridCol w:w="1951"/>
        <w:gridCol w:w="8961"/>
      </w:tblGrid>
      <w:tr w:rsidR="00D44D71" w:rsidTr="002C6942">
        <w:tc>
          <w:tcPr>
            <w:tcW w:w="1951" w:type="dxa"/>
            <w:vMerge w:val="restart"/>
            <w:tcBorders>
              <w:top w:val="nil"/>
              <w:left w:val="nil"/>
              <w:bottom w:val="nil"/>
              <w:right w:val="single" w:sz="4" w:space="0" w:color="auto"/>
            </w:tcBorders>
          </w:tcPr>
          <w:p w:rsidR="00D44D71" w:rsidRDefault="00D44D71" w:rsidP="00D27256">
            <w:pPr>
              <w:rPr>
                <w:noProof/>
                <w:lang w:eastAsia="fr-FR"/>
              </w:rPr>
            </w:pPr>
            <w:r w:rsidRPr="00D44D71">
              <w:rPr>
                <w:noProof/>
                <w:lang w:eastAsia="fr-FR"/>
              </w:rPr>
              <w:drawing>
                <wp:inline distT="0" distB="0" distL="0" distR="0">
                  <wp:extent cx="904875" cy="5715000"/>
                  <wp:effectExtent l="19050" t="0" r="9525" b="0"/>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904875" cy="5715000"/>
                          </a:xfrm>
                          <a:prstGeom prst="rect">
                            <a:avLst/>
                          </a:prstGeom>
                          <a:noFill/>
                          <a:ln w="9525">
                            <a:noFill/>
                            <a:miter lim="800000"/>
                            <a:headEnd/>
                            <a:tailEnd/>
                          </a:ln>
                        </pic:spPr>
                      </pic:pic>
                    </a:graphicData>
                  </a:graphic>
                </wp:inline>
              </w:drawing>
            </w:r>
          </w:p>
        </w:tc>
        <w:tc>
          <w:tcPr>
            <w:tcW w:w="8961" w:type="dxa"/>
            <w:tcBorders>
              <w:left w:val="single" w:sz="4" w:space="0" w:color="auto"/>
            </w:tcBorders>
          </w:tcPr>
          <w:p w:rsidR="006C2290" w:rsidRPr="006C2290" w:rsidRDefault="006C2290" w:rsidP="00D27256">
            <w:pPr>
              <w:rPr>
                <w:sz w:val="10"/>
                <w:u w:val="single"/>
              </w:rPr>
            </w:pPr>
          </w:p>
          <w:p w:rsidR="00D44D71" w:rsidRDefault="00D44D71" w:rsidP="00D27256">
            <w:r w:rsidRPr="00D44D71">
              <w:rPr>
                <w:u w:val="single"/>
              </w:rPr>
              <w:t>La surface de jeu</w:t>
            </w:r>
            <w:r w:rsidR="002C6942">
              <w:t> (schéma à gauche) :</w:t>
            </w:r>
          </w:p>
          <w:p w:rsidR="00D44D71" w:rsidRPr="00D44D71" w:rsidRDefault="00D44D71" w:rsidP="00D27256">
            <w:pPr>
              <w:rPr>
                <w:sz w:val="8"/>
                <w:szCs w:val="8"/>
              </w:rPr>
            </w:pPr>
          </w:p>
          <w:p w:rsidR="00D44D71" w:rsidRDefault="00D44D71" w:rsidP="00D44D71">
            <w:pPr>
              <w:jc w:val="both"/>
              <w:rPr>
                <w:i/>
              </w:rPr>
            </w:pPr>
            <w:r>
              <w:rPr>
                <w:i/>
              </w:rPr>
              <w:t xml:space="preserve">     </w:t>
            </w:r>
            <w:r w:rsidRPr="00D44D71">
              <w:rPr>
                <w:i/>
              </w:rPr>
              <w:t>La surface de jeu du curling, ou « pi</w:t>
            </w:r>
            <w:r w:rsidR="007E51C7">
              <w:rPr>
                <w:i/>
              </w:rPr>
              <w:t xml:space="preserve">ste », </w:t>
            </w:r>
            <w:r w:rsidRPr="00D44D71">
              <w:rPr>
                <w:i/>
              </w:rPr>
              <w:t xml:space="preserve">est constituée d'une surface glacée de 42,07 m (146') de longueur et d'une largeur allant de 4,3 m (14'2") à 4,75 m (15'7"), préparée avec grand soin pour être la plus plane possible pour permettre aux « pierres », de glisser avec le moins de friction possible. </w:t>
            </w:r>
          </w:p>
          <w:p w:rsidR="00D44D71" w:rsidRPr="00D44D71" w:rsidRDefault="00D44D71" w:rsidP="00D44D71">
            <w:pPr>
              <w:jc w:val="both"/>
              <w:rPr>
                <w:i/>
                <w:sz w:val="8"/>
                <w:szCs w:val="8"/>
              </w:rPr>
            </w:pPr>
          </w:p>
          <w:p w:rsidR="00D44D71" w:rsidRDefault="00D44D71" w:rsidP="00D44D71">
            <w:pPr>
              <w:jc w:val="both"/>
              <w:rPr>
                <w:i/>
              </w:rPr>
            </w:pPr>
            <w:r>
              <w:rPr>
                <w:i/>
              </w:rPr>
              <w:t xml:space="preserve">     </w:t>
            </w:r>
            <w:r w:rsidRPr="00D44D71">
              <w:rPr>
                <w:i/>
              </w:rPr>
              <w:t>La « maison » comporte une série de cercles concentriques de 3,66 m (12'), 2,43 m (8'), 1,22 m (4') et 0,3 m (1') de diamètre, qui sont peints à chaque extrémité.</w:t>
            </w:r>
          </w:p>
          <w:p w:rsidR="00D44D71" w:rsidRPr="00D44D71" w:rsidRDefault="00D44D71" w:rsidP="00D44D71">
            <w:pPr>
              <w:jc w:val="both"/>
              <w:rPr>
                <w:i/>
                <w:sz w:val="8"/>
                <w:szCs w:val="8"/>
              </w:rPr>
            </w:pPr>
          </w:p>
          <w:p w:rsidR="00D44D71" w:rsidRDefault="00D44D71" w:rsidP="00D44D71">
            <w:pPr>
              <w:jc w:val="both"/>
              <w:rPr>
                <w:i/>
              </w:rPr>
            </w:pPr>
            <w:r>
              <w:rPr>
                <w:i/>
              </w:rPr>
              <w:t xml:space="preserve">    </w:t>
            </w:r>
            <w:r w:rsidRPr="00D44D71">
              <w:rPr>
                <w:i/>
              </w:rPr>
              <w:t>Des appuie-pieds, appelés normalement hacks, sont fixés sur la glace et servent lors du lancer de la pierre de chaque côté aux extrémités.</w:t>
            </w:r>
          </w:p>
          <w:p w:rsidR="00D44D71" w:rsidRPr="00D44D71" w:rsidRDefault="00D44D71" w:rsidP="00D44D71">
            <w:pPr>
              <w:rPr>
                <w:sz w:val="8"/>
                <w:szCs w:val="8"/>
              </w:rPr>
            </w:pPr>
          </w:p>
        </w:tc>
      </w:tr>
      <w:tr w:rsidR="00D44D71" w:rsidTr="002C6942">
        <w:tc>
          <w:tcPr>
            <w:tcW w:w="1951" w:type="dxa"/>
            <w:vMerge/>
            <w:tcBorders>
              <w:top w:val="nil"/>
              <w:left w:val="nil"/>
              <w:bottom w:val="nil"/>
              <w:right w:val="single" w:sz="4" w:space="0" w:color="auto"/>
            </w:tcBorders>
          </w:tcPr>
          <w:p w:rsidR="00D44D71" w:rsidRDefault="00D44D71" w:rsidP="00D27256">
            <w:pPr>
              <w:rPr>
                <w:noProof/>
                <w:lang w:eastAsia="fr-FR"/>
              </w:rPr>
            </w:pPr>
          </w:p>
        </w:tc>
        <w:tc>
          <w:tcPr>
            <w:tcW w:w="8961" w:type="dxa"/>
            <w:tcBorders>
              <w:left w:val="single" w:sz="4" w:space="0" w:color="auto"/>
            </w:tcBorders>
          </w:tcPr>
          <w:p w:rsidR="006C2290" w:rsidRPr="006C2290" w:rsidRDefault="006C2290" w:rsidP="00D44D71">
            <w:pPr>
              <w:rPr>
                <w:sz w:val="10"/>
                <w:u w:val="single"/>
              </w:rPr>
            </w:pPr>
          </w:p>
          <w:p w:rsidR="00D44D71" w:rsidRDefault="00D44D71" w:rsidP="00D44D71">
            <w:r>
              <w:rPr>
                <w:u w:val="single"/>
              </w:rPr>
              <w:t>Pierre de curling</w:t>
            </w:r>
            <w:r>
              <w:t> :</w:t>
            </w:r>
          </w:p>
          <w:p w:rsidR="00D44D71" w:rsidRPr="00D44D71" w:rsidRDefault="00D44D71" w:rsidP="00D44D71">
            <w:pPr>
              <w:rPr>
                <w:sz w:val="8"/>
              </w:rPr>
            </w:pPr>
          </w:p>
          <w:p w:rsidR="00D44D71" w:rsidRDefault="007E51C7" w:rsidP="00D44D71">
            <w:pPr>
              <w:pStyle w:val="NormalWeb"/>
              <w:spacing w:before="0" w:beforeAutospacing="0" w:after="0" w:afterAutospacing="0"/>
              <w:jc w:val="both"/>
              <w:rPr>
                <w:rFonts w:asciiTheme="minorHAnsi" w:eastAsiaTheme="minorHAnsi" w:hAnsiTheme="minorHAnsi" w:cstheme="minorBidi"/>
                <w:i/>
                <w:sz w:val="22"/>
                <w:szCs w:val="22"/>
                <w:lang w:eastAsia="en-US"/>
              </w:rPr>
            </w:pPr>
            <w:r>
              <w:rPr>
                <w:rFonts w:asciiTheme="minorHAnsi" w:eastAsiaTheme="minorHAnsi" w:hAnsiTheme="minorHAnsi" w:cstheme="minorBidi"/>
                <w:i/>
                <w:noProof/>
                <w:sz w:val="22"/>
                <w:szCs w:val="22"/>
              </w:rPr>
              <w:drawing>
                <wp:anchor distT="0" distB="0" distL="114300" distR="114300" simplePos="0" relativeHeight="251660288" behindDoc="1" locked="0" layoutInCell="1" allowOverlap="1">
                  <wp:simplePos x="0" y="0"/>
                  <wp:positionH relativeFrom="column">
                    <wp:posOffset>82550</wp:posOffset>
                  </wp:positionH>
                  <wp:positionV relativeFrom="paragraph">
                    <wp:posOffset>28575</wp:posOffset>
                  </wp:positionV>
                  <wp:extent cx="770890" cy="676275"/>
                  <wp:effectExtent l="19050" t="0" r="0" b="0"/>
                  <wp:wrapTight wrapText="bothSides">
                    <wp:wrapPolygon edited="0">
                      <wp:start x="-534" y="0"/>
                      <wp:lineTo x="-534" y="21296"/>
                      <wp:lineTo x="21351" y="21296"/>
                      <wp:lineTo x="21351" y="0"/>
                      <wp:lineTo x="-534" y="0"/>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770890" cy="676275"/>
                          </a:xfrm>
                          <a:prstGeom prst="rect">
                            <a:avLst/>
                          </a:prstGeom>
                          <a:noFill/>
                          <a:ln w="9525">
                            <a:noFill/>
                            <a:miter lim="800000"/>
                            <a:headEnd/>
                            <a:tailEnd/>
                          </a:ln>
                        </pic:spPr>
                      </pic:pic>
                    </a:graphicData>
                  </a:graphic>
                </wp:anchor>
              </w:drawing>
            </w:r>
            <w:r w:rsidR="00D44D71" w:rsidRPr="00D44D71">
              <w:rPr>
                <w:rFonts w:asciiTheme="minorHAnsi" w:eastAsiaTheme="minorHAnsi" w:hAnsiTheme="minorHAnsi" w:cstheme="minorBidi"/>
                <w:i/>
                <w:sz w:val="22"/>
                <w:szCs w:val="22"/>
                <w:lang w:eastAsia="en-US"/>
              </w:rPr>
              <w:t>La pierre de curling utilisée pour le jeu pès</w:t>
            </w:r>
            <w:r>
              <w:rPr>
                <w:rFonts w:asciiTheme="minorHAnsi" w:eastAsiaTheme="minorHAnsi" w:hAnsiTheme="minorHAnsi" w:cstheme="minorBidi"/>
                <w:i/>
                <w:sz w:val="22"/>
                <w:szCs w:val="22"/>
                <w:lang w:eastAsia="en-US"/>
              </w:rPr>
              <w:t>e 19,96 kg</w:t>
            </w:r>
            <w:r w:rsidR="00D44D71" w:rsidRPr="00D44D71">
              <w:rPr>
                <w:rFonts w:asciiTheme="minorHAnsi" w:eastAsiaTheme="minorHAnsi" w:hAnsiTheme="minorHAnsi" w:cstheme="minorBidi"/>
                <w:i/>
                <w:sz w:val="22"/>
                <w:szCs w:val="22"/>
                <w:lang w:eastAsia="en-US"/>
              </w:rPr>
              <w:t>. Elle a une circonférence de 91,44 cm et une hauteur qui doit correspondre à un huitième de celle-ci, soit 11,43 cm. Elle est équipée d'une poignée à son sommet qui permet de la faire pivoter avant d'être relâchée.</w:t>
            </w:r>
          </w:p>
          <w:p w:rsidR="00D44D71" w:rsidRPr="00D44D71" w:rsidRDefault="00D44D71" w:rsidP="00D44D71">
            <w:pPr>
              <w:pStyle w:val="NormalWeb"/>
              <w:spacing w:before="0" w:beforeAutospacing="0" w:after="0" w:afterAutospacing="0"/>
              <w:jc w:val="both"/>
              <w:rPr>
                <w:rFonts w:asciiTheme="minorHAnsi" w:eastAsiaTheme="minorHAnsi" w:hAnsiTheme="minorHAnsi" w:cstheme="minorBidi"/>
                <w:i/>
                <w:sz w:val="8"/>
                <w:szCs w:val="8"/>
                <w:lang w:eastAsia="en-US"/>
              </w:rPr>
            </w:pPr>
          </w:p>
          <w:p w:rsidR="00D44D71" w:rsidRPr="00D44D71" w:rsidRDefault="00D44D71" w:rsidP="007E51C7">
            <w:pPr>
              <w:pStyle w:val="NormalWeb"/>
              <w:spacing w:before="0" w:beforeAutospacing="0" w:after="0" w:afterAutospacing="0"/>
              <w:jc w:val="both"/>
              <w:rPr>
                <w:sz w:val="8"/>
                <w:szCs w:val="8"/>
              </w:rPr>
            </w:pPr>
          </w:p>
        </w:tc>
      </w:tr>
      <w:tr w:rsidR="00D44D71" w:rsidTr="002C6942">
        <w:tc>
          <w:tcPr>
            <w:tcW w:w="1951" w:type="dxa"/>
            <w:vMerge/>
            <w:tcBorders>
              <w:top w:val="nil"/>
              <w:left w:val="nil"/>
              <w:bottom w:val="nil"/>
              <w:right w:val="single" w:sz="4" w:space="0" w:color="auto"/>
            </w:tcBorders>
          </w:tcPr>
          <w:p w:rsidR="00D44D71" w:rsidRDefault="00D44D71" w:rsidP="00D27256">
            <w:pPr>
              <w:rPr>
                <w:noProof/>
                <w:lang w:eastAsia="fr-FR"/>
              </w:rPr>
            </w:pPr>
          </w:p>
        </w:tc>
        <w:tc>
          <w:tcPr>
            <w:tcW w:w="8961" w:type="dxa"/>
            <w:tcBorders>
              <w:left w:val="single" w:sz="4" w:space="0" w:color="auto"/>
            </w:tcBorders>
          </w:tcPr>
          <w:p w:rsidR="006C2290" w:rsidRPr="006C2290" w:rsidRDefault="006C2290" w:rsidP="006C2290">
            <w:pPr>
              <w:ind w:firstLine="708"/>
              <w:rPr>
                <w:sz w:val="10"/>
                <w:u w:val="single"/>
              </w:rPr>
            </w:pPr>
          </w:p>
          <w:p w:rsidR="00D44D71" w:rsidRDefault="00D44D71" w:rsidP="00D44D71">
            <w:r>
              <w:rPr>
                <w:u w:val="single"/>
              </w:rPr>
              <w:t>Les joueurs</w:t>
            </w:r>
            <w:r>
              <w:t> :</w:t>
            </w:r>
          </w:p>
          <w:p w:rsidR="00D44D71" w:rsidRPr="00D44D71" w:rsidRDefault="00D44D71" w:rsidP="00D44D71">
            <w:pPr>
              <w:rPr>
                <w:sz w:val="8"/>
              </w:rPr>
            </w:pPr>
          </w:p>
          <w:p w:rsidR="00D44D71" w:rsidRPr="00D44D71" w:rsidRDefault="00D44D71" w:rsidP="00D44D71">
            <w:pPr>
              <w:jc w:val="both"/>
              <w:rPr>
                <w:i/>
              </w:rPr>
            </w:pPr>
            <w:r w:rsidRPr="00D44D71">
              <w:rPr>
                <w:i/>
              </w:rPr>
              <w:t>Le curling est un jeu d'équipe, pratiqué entre deux équipes de 4 joueurs chacune.</w:t>
            </w:r>
          </w:p>
          <w:p w:rsidR="00D44D71" w:rsidRDefault="007E51C7" w:rsidP="00D44D71">
            <w:pPr>
              <w:jc w:val="both"/>
              <w:rPr>
                <w:i/>
              </w:rPr>
            </w:pPr>
            <w:r>
              <w:rPr>
                <w:i/>
              </w:rPr>
              <w:t>Il</w:t>
            </w:r>
            <w:r w:rsidR="00D44D71" w:rsidRPr="00D44D71">
              <w:rPr>
                <w:i/>
              </w:rPr>
              <w:t xml:space="preserve"> y a un joueur qui lance la pierre et un autre à l'autre extrémité de la piste. Les deux joueurs restants suivent la pierre et assistent la trajectoire en balayant la glace avant que la pierre n'arrive, en fonction des directives du skip et de leur propre jugement sur la vélocité du lancé.</w:t>
            </w:r>
          </w:p>
          <w:p w:rsidR="00D44D71" w:rsidRPr="00D44D71" w:rsidRDefault="00D44D71" w:rsidP="00D44D71">
            <w:pPr>
              <w:rPr>
                <w:sz w:val="8"/>
                <w:szCs w:val="8"/>
                <w:u w:val="single"/>
              </w:rPr>
            </w:pPr>
          </w:p>
        </w:tc>
      </w:tr>
      <w:tr w:rsidR="00D44D71" w:rsidTr="002C6942">
        <w:tc>
          <w:tcPr>
            <w:tcW w:w="1951" w:type="dxa"/>
            <w:vMerge/>
            <w:tcBorders>
              <w:top w:val="nil"/>
              <w:left w:val="nil"/>
              <w:bottom w:val="nil"/>
              <w:right w:val="single" w:sz="4" w:space="0" w:color="auto"/>
            </w:tcBorders>
          </w:tcPr>
          <w:p w:rsidR="00D44D71" w:rsidRDefault="00D44D71" w:rsidP="00D27256">
            <w:pPr>
              <w:rPr>
                <w:noProof/>
                <w:lang w:eastAsia="fr-FR"/>
              </w:rPr>
            </w:pPr>
          </w:p>
        </w:tc>
        <w:tc>
          <w:tcPr>
            <w:tcW w:w="8961" w:type="dxa"/>
            <w:tcBorders>
              <w:left w:val="single" w:sz="4" w:space="0" w:color="auto"/>
            </w:tcBorders>
          </w:tcPr>
          <w:p w:rsidR="006C2290" w:rsidRPr="006C2290" w:rsidRDefault="006C2290" w:rsidP="00D44D71">
            <w:pPr>
              <w:rPr>
                <w:sz w:val="10"/>
                <w:u w:val="single"/>
              </w:rPr>
            </w:pPr>
          </w:p>
          <w:p w:rsidR="00D44D71" w:rsidRDefault="00D44D71" w:rsidP="00D44D71">
            <w:r>
              <w:rPr>
                <w:u w:val="single"/>
              </w:rPr>
              <w:t>Le jeu</w:t>
            </w:r>
            <w:r>
              <w:t> :</w:t>
            </w:r>
          </w:p>
          <w:p w:rsidR="00D44D71" w:rsidRPr="00D44D71" w:rsidRDefault="00D44D71" w:rsidP="00D44D71">
            <w:pPr>
              <w:rPr>
                <w:sz w:val="8"/>
              </w:rPr>
            </w:pPr>
          </w:p>
          <w:p w:rsidR="00D44D71" w:rsidRPr="00D44D71" w:rsidRDefault="00D44D71" w:rsidP="006C2290">
            <w:pPr>
              <w:jc w:val="both"/>
              <w:rPr>
                <w:i/>
              </w:rPr>
            </w:pPr>
            <w:r w:rsidRPr="00D44D71">
              <w:rPr>
                <w:i/>
              </w:rPr>
              <w:t>Lors du jet de la pierre, celle-ci doit être</w:t>
            </w:r>
            <w:r w:rsidR="0054256E">
              <w:rPr>
                <w:i/>
              </w:rPr>
              <w:t xml:space="preserve"> relâchée </w:t>
            </w:r>
            <w:r w:rsidRPr="00D44D71">
              <w:rPr>
                <w:i/>
              </w:rPr>
              <w:t>avant que la hogline (ligne de jeu) soit atteinte (habituellement, les joueurs glissent en même temps qu'ils relâchent la pierre) et doit dépasser la hogline opposée.</w:t>
            </w:r>
          </w:p>
          <w:p w:rsidR="00D44D71" w:rsidRPr="00D44D71" w:rsidRDefault="00D44D71" w:rsidP="006C2290">
            <w:pPr>
              <w:jc w:val="both"/>
              <w:rPr>
                <w:i/>
                <w:sz w:val="8"/>
                <w:szCs w:val="8"/>
              </w:rPr>
            </w:pPr>
          </w:p>
          <w:p w:rsidR="00D44D71" w:rsidRPr="00D44D71" w:rsidRDefault="00D44D71" w:rsidP="006C2290">
            <w:pPr>
              <w:jc w:val="both"/>
              <w:rPr>
                <w:i/>
              </w:rPr>
            </w:pPr>
            <w:r w:rsidRPr="00D44D71">
              <w:rPr>
                <w:i/>
              </w:rPr>
              <w:t xml:space="preserve">À chaque tir, deux joueurs équipés de balais frottent vigoureusement la glace </w:t>
            </w:r>
            <w:r w:rsidR="0054256E">
              <w:rPr>
                <w:i/>
              </w:rPr>
              <w:t>devant</w:t>
            </w:r>
            <w:r w:rsidRPr="00D44D71">
              <w:rPr>
                <w:i/>
              </w:rPr>
              <w:t xml:space="preserve"> la pierre pour modifier sa trajectoire ou augmenter la distance parcourue par la pierre.</w:t>
            </w:r>
          </w:p>
          <w:p w:rsidR="00FD2F93" w:rsidRDefault="00FD2F93" w:rsidP="00D44D71">
            <w:pPr>
              <w:rPr>
                <w:sz w:val="8"/>
                <w:szCs w:val="8"/>
                <w:u w:val="single"/>
              </w:rPr>
            </w:pPr>
          </w:p>
          <w:p w:rsidR="00D44D71" w:rsidRPr="00FD2F93" w:rsidRDefault="00FD2F93" w:rsidP="00FD2F93">
            <w:pPr>
              <w:rPr>
                <w:sz w:val="16"/>
                <w:szCs w:val="8"/>
                <w:u w:val="single"/>
              </w:rPr>
            </w:pPr>
            <w:r w:rsidRPr="00FD2F93">
              <w:rPr>
                <w:u w:val="single"/>
              </w:rPr>
              <w:t>Le jeu en animation vidéo</w:t>
            </w:r>
            <w:r w:rsidRPr="00FD2F93">
              <w:t xml:space="preserve"> : </w:t>
            </w:r>
            <w:r w:rsidRPr="00FD2F93">
              <w:rPr>
                <w:sz w:val="8"/>
                <w:szCs w:val="8"/>
              </w:rPr>
              <w:t xml:space="preserve"> </w:t>
            </w:r>
            <w:r w:rsidRPr="00FD2F93">
              <w:rPr>
                <w:rStyle w:val="Lienhypertexte"/>
                <w:sz w:val="20"/>
              </w:rPr>
              <w:t>https://www.youtube.com/watch?v=BiGUqCXsWlY</w:t>
            </w:r>
            <w:r w:rsidR="006C2290">
              <w:rPr>
                <w:noProof/>
                <w:sz w:val="8"/>
                <w:szCs w:val="8"/>
                <w:u w:val="single"/>
                <w:lang w:eastAsia="fr-FR"/>
              </w:rPr>
              <w:drawing>
                <wp:anchor distT="0" distB="0" distL="114300" distR="114300" simplePos="0" relativeHeight="251659264" behindDoc="0" locked="0" layoutInCell="1" allowOverlap="1">
                  <wp:simplePos x="0" y="0"/>
                  <wp:positionH relativeFrom="column">
                    <wp:posOffset>4436209</wp:posOffset>
                  </wp:positionH>
                  <wp:positionV relativeFrom="paragraph">
                    <wp:posOffset>128459</wp:posOffset>
                  </wp:positionV>
                  <wp:extent cx="1174898" cy="976655"/>
                  <wp:effectExtent l="38100" t="0" r="25252" b="28064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174898" cy="9766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tc>
      </w:tr>
      <w:tr w:rsidR="00203879" w:rsidTr="002C6942">
        <w:tc>
          <w:tcPr>
            <w:tcW w:w="1951" w:type="dxa"/>
            <w:tcBorders>
              <w:top w:val="nil"/>
              <w:left w:val="nil"/>
              <w:bottom w:val="nil"/>
              <w:right w:val="single" w:sz="4" w:space="0" w:color="auto"/>
            </w:tcBorders>
          </w:tcPr>
          <w:p w:rsidR="00203879" w:rsidRDefault="00C56F79" w:rsidP="00C56F79">
            <w:r w:rsidRPr="00203879">
              <w:rPr>
                <w:b/>
                <w:bCs/>
                <w:color w:val="0070C0"/>
                <w:sz w:val="14"/>
              </w:rPr>
              <w:t>CL</w:t>
            </w:r>
            <w:r>
              <w:rPr>
                <w:b/>
                <w:bCs/>
                <w:color w:val="0070C0"/>
                <w:sz w:val="14"/>
              </w:rPr>
              <w:t xml:space="preserve"> </w:t>
            </w:r>
            <w:r>
              <w:rPr>
                <w:sz w:val="14"/>
              </w:rPr>
              <w:t>     ligne médiane</w:t>
            </w:r>
            <w:r w:rsidRPr="00203879">
              <w:rPr>
                <w:sz w:val="14"/>
              </w:rPr>
              <w:br/>
            </w:r>
            <w:r w:rsidRPr="00203879">
              <w:rPr>
                <w:b/>
                <w:bCs/>
                <w:color w:val="0070C0"/>
                <w:sz w:val="14"/>
              </w:rPr>
              <w:t>HOL</w:t>
            </w:r>
            <w:r>
              <w:rPr>
                <w:b/>
                <w:bCs/>
                <w:color w:val="0070C0"/>
                <w:sz w:val="14"/>
              </w:rPr>
              <w:t xml:space="preserve"> </w:t>
            </w:r>
            <w:r w:rsidRPr="00203879">
              <w:rPr>
                <w:sz w:val="14"/>
              </w:rPr>
              <w:t> </w:t>
            </w:r>
            <w:r>
              <w:rPr>
                <w:sz w:val="14"/>
              </w:rPr>
              <w:t xml:space="preserve"> </w:t>
            </w:r>
            <w:r w:rsidRPr="00203879">
              <w:rPr>
                <w:sz w:val="14"/>
              </w:rPr>
              <w:t>hogline</w:t>
            </w:r>
            <w:r w:rsidRPr="00203879">
              <w:rPr>
                <w:sz w:val="14"/>
              </w:rPr>
              <w:br/>
            </w:r>
            <w:r w:rsidRPr="00203879">
              <w:rPr>
                <w:b/>
                <w:bCs/>
                <w:color w:val="0070C0"/>
                <w:sz w:val="14"/>
              </w:rPr>
              <w:t>TL</w:t>
            </w:r>
            <w:r>
              <w:rPr>
                <w:b/>
                <w:bCs/>
                <w:color w:val="0070C0"/>
                <w:sz w:val="14"/>
              </w:rPr>
              <w:t xml:space="preserve"> </w:t>
            </w:r>
            <w:r>
              <w:rPr>
                <w:b/>
                <w:bCs/>
                <w:sz w:val="14"/>
              </w:rPr>
              <w:t xml:space="preserve"> </w:t>
            </w:r>
            <w:r>
              <w:rPr>
                <w:sz w:val="14"/>
              </w:rPr>
              <w:t xml:space="preserve">     </w:t>
            </w:r>
            <w:r w:rsidRPr="00203879">
              <w:rPr>
                <w:sz w:val="14"/>
              </w:rPr>
              <w:t>ligne de T</w:t>
            </w:r>
            <w:r w:rsidRPr="00203879">
              <w:rPr>
                <w:sz w:val="14"/>
              </w:rPr>
              <w:br/>
            </w:r>
            <w:r w:rsidRPr="00203879">
              <w:rPr>
                <w:b/>
                <w:bCs/>
                <w:color w:val="0070C0"/>
                <w:sz w:val="14"/>
              </w:rPr>
              <w:t>BL</w:t>
            </w:r>
            <w:r>
              <w:rPr>
                <w:b/>
                <w:bCs/>
                <w:color w:val="0070C0"/>
                <w:sz w:val="14"/>
              </w:rPr>
              <w:t xml:space="preserve">  </w:t>
            </w:r>
            <w:r w:rsidRPr="00203879">
              <w:rPr>
                <w:sz w:val="14"/>
              </w:rPr>
              <w:t> </w:t>
            </w:r>
            <w:r>
              <w:rPr>
                <w:sz w:val="14"/>
              </w:rPr>
              <w:t xml:space="preserve">    </w:t>
            </w:r>
            <w:r w:rsidRPr="00203879">
              <w:rPr>
                <w:sz w:val="14"/>
              </w:rPr>
              <w:t>ligne arrière</w:t>
            </w:r>
            <w:r w:rsidRPr="00203879">
              <w:rPr>
                <w:sz w:val="14"/>
              </w:rPr>
              <w:br/>
            </w:r>
            <w:r w:rsidRPr="00203879">
              <w:rPr>
                <w:b/>
                <w:bCs/>
                <w:color w:val="0070C0"/>
                <w:sz w:val="14"/>
              </w:rPr>
              <w:t>HA</w:t>
            </w:r>
            <w:r>
              <w:rPr>
                <w:b/>
                <w:bCs/>
                <w:color w:val="0070C0"/>
                <w:sz w:val="14"/>
              </w:rPr>
              <w:t xml:space="preserve"> </w:t>
            </w:r>
            <w:r>
              <w:rPr>
                <w:b/>
                <w:bCs/>
                <w:sz w:val="14"/>
              </w:rPr>
              <w:t xml:space="preserve">    </w:t>
            </w:r>
            <w:r w:rsidRPr="00203879">
              <w:rPr>
                <w:sz w:val="14"/>
              </w:rPr>
              <w:t> ligne hack</w:t>
            </w:r>
            <w:r w:rsidRPr="00203879">
              <w:rPr>
                <w:sz w:val="14"/>
              </w:rPr>
              <w:br/>
            </w:r>
            <w:r w:rsidRPr="00203879">
              <w:rPr>
                <w:b/>
                <w:bCs/>
                <w:color w:val="0070C0"/>
                <w:sz w:val="14"/>
              </w:rPr>
              <w:t>FGZ</w:t>
            </w:r>
            <w:r>
              <w:rPr>
                <w:b/>
                <w:bCs/>
                <w:color w:val="0070C0"/>
                <w:sz w:val="14"/>
              </w:rPr>
              <w:t xml:space="preserve"> </w:t>
            </w:r>
            <w:r>
              <w:rPr>
                <w:b/>
                <w:bCs/>
                <w:sz w:val="14"/>
              </w:rPr>
              <w:t xml:space="preserve"> </w:t>
            </w:r>
            <w:r w:rsidRPr="00203879">
              <w:rPr>
                <w:sz w:val="14"/>
              </w:rPr>
              <w:t> </w:t>
            </w:r>
            <w:r>
              <w:rPr>
                <w:sz w:val="14"/>
              </w:rPr>
              <w:t xml:space="preserve"> </w:t>
            </w:r>
            <w:r w:rsidRPr="00203879">
              <w:rPr>
                <w:sz w:val="14"/>
              </w:rPr>
              <w:t>Free Guard Zone</w:t>
            </w:r>
          </w:p>
        </w:tc>
        <w:tc>
          <w:tcPr>
            <w:tcW w:w="8961" w:type="dxa"/>
            <w:tcBorders>
              <w:left w:val="single" w:sz="4" w:space="0" w:color="auto"/>
            </w:tcBorders>
          </w:tcPr>
          <w:p w:rsidR="00930C9C" w:rsidRPr="00930C9C" w:rsidRDefault="00203879" w:rsidP="00D27256">
            <w:pPr>
              <w:rPr>
                <w:sz w:val="6"/>
              </w:rPr>
            </w:pPr>
            <w:r>
              <w:t xml:space="preserve"> </w:t>
            </w:r>
          </w:p>
          <w:p w:rsidR="006C2290" w:rsidRPr="006C2290" w:rsidRDefault="006C2290" w:rsidP="006C2290">
            <w:pPr>
              <w:ind w:firstLine="708"/>
              <w:rPr>
                <w:sz w:val="10"/>
                <w:u w:val="single"/>
              </w:rPr>
            </w:pPr>
          </w:p>
          <w:p w:rsidR="00203879" w:rsidRDefault="00EF7228" w:rsidP="00D27256">
            <w:r w:rsidRPr="00930C9C">
              <w:rPr>
                <w:u w:val="single"/>
              </w:rPr>
              <w:t>Vidéo</w:t>
            </w:r>
            <w:r>
              <w:t xml:space="preserve"> d’un lancé exceptionnel de Jennifer J</w:t>
            </w:r>
            <w:r w:rsidR="00717FA8">
              <w:t>ONES</w:t>
            </w:r>
            <w:r>
              <w:t xml:space="preserve"> lors d’un tournoi en 2005.</w:t>
            </w:r>
            <w:r w:rsidR="00930C9C">
              <w:t xml:space="preserve"> </w:t>
            </w:r>
          </w:p>
          <w:p w:rsidR="00930C9C" w:rsidRPr="00930C9C" w:rsidRDefault="00930C9C" w:rsidP="00D27256">
            <w:pPr>
              <w:rPr>
                <w:sz w:val="12"/>
              </w:rPr>
            </w:pPr>
          </w:p>
          <w:p w:rsidR="004C77FF" w:rsidRDefault="00FA1982" w:rsidP="004C77FF">
            <w:pPr>
              <w:jc w:val="center"/>
              <w:rPr>
                <w:rStyle w:val="Lienhypertexte"/>
                <w:sz w:val="20"/>
              </w:rPr>
            </w:pPr>
            <w:hyperlink r:id="rId14" w:history="1">
              <w:r w:rsidR="00EF7228" w:rsidRPr="00FD2F93">
                <w:rPr>
                  <w:rStyle w:val="Lienhypertexte"/>
                  <w:sz w:val="20"/>
                </w:rPr>
                <w:t>https://www.youtube.com/watch?v=CM5mFH3_Qhs</w:t>
              </w:r>
            </w:hyperlink>
          </w:p>
          <w:p w:rsidR="00252A99" w:rsidRDefault="00252A99" w:rsidP="004C77FF">
            <w:r>
              <w:t>C</w:t>
            </w:r>
            <w:r w:rsidRPr="00252A99">
              <w:t>ette vidéo est filmée depuis une caméra n°1</w:t>
            </w:r>
            <w:r w:rsidR="004C77FF">
              <w:t xml:space="preserve"> et montre que la pierre met</w:t>
            </w:r>
          </w:p>
          <w:p w:rsidR="004C77FF" w:rsidRPr="004C77FF" w:rsidRDefault="004C77FF" w:rsidP="004C77FF">
            <w:pPr>
              <w:rPr>
                <w:color w:val="0000FF" w:themeColor="hyperlink"/>
                <w:sz w:val="20"/>
                <w:u w:val="single"/>
              </w:rPr>
            </w:pPr>
            <w:r>
              <w:t>7 secondes pour parcourir la distance entre les deux hoglines de la piste.</w:t>
            </w:r>
          </w:p>
          <w:p w:rsidR="00392C22" w:rsidRDefault="00392C22" w:rsidP="00252A99"/>
          <w:p w:rsidR="00252A99" w:rsidRPr="00252A99" w:rsidRDefault="00252A99" w:rsidP="00392C22">
            <w:pPr>
              <w:ind w:right="-77"/>
            </w:pPr>
            <w:r>
              <w:t xml:space="preserve">Une deuxième caméra, fixée sur un câble </w:t>
            </w:r>
            <w:r w:rsidR="00392C22">
              <w:t>tendu</w:t>
            </w:r>
            <w:r>
              <w:t xml:space="preserve"> au-dessus de la piste</w:t>
            </w:r>
            <w:r w:rsidR="00392C22">
              <w:t>,</w:t>
            </w:r>
            <w:r>
              <w:t xml:space="preserve"> est réglée pour avancer à 3,0 m/s</w:t>
            </w:r>
            <w:r w:rsidR="00392C22">
              <w:t>. Elle est située au-dessus de la 1</w:t>
            </w:r>
            <w:r w:rsidR="00392C22" w:rsidRPr="00392C22">
              <w:rPr>
                <w:vertAlign w:val="superscript"/>
              </w:rPr>
              <w:t>ère</w:t>
            </w:r>
            <w:r w:rsidR="00392C22">
              <w:t xml:space="preserve"> hogline et </w:t>
            </w:r>
            <w:r>
              <w:t xml:space="preserve">démarre </w:t>
            </w:r>
            <w:r w:rsidR="00392C22">
              <w:t>dès</w:t>
            </w:r>
            <w:r>
              <w:t xml:space="preserve"> que la pierre passe </w:t>
            </w:r>
            <w:r w:rsidR="00392C22">
              <w:t>en-dessous.</w:t>
            </w:r>
            <w:r>
              <w:t xml:space="preserve">  </w:t>
            </w:r>
          </w:p>
          <w:p w:rsidR="00FD2F93" w:rsidRDefault="00FD2F93" w:rsidP="00930C9C">
            <w:pPr>
              <w:jc w:val="center"/>
            </w:pPr>
          </w:p>
        </w:tc>
      </w:tr>
    </w:tbl>
    <w:p w:rsidR="00930C9C" w:rsidRPr="00B60935" w:rsidRDefault="00930C9C" w:rsidP="00930C9C">
      <w:pPr>
        <w:spacing w:after="0"/>
        <w:rPr>
          <w:sz w:val="14"/>
        </w:rPr>
      </w:pPr>
    </w:p>
    <w:p w:rsidR="00930C9C" w:rsidRPr="00930C9C" w:rsidRDefault="00930C9C" w:rsidP="00B60935">
      <w:pPr>
        <w:spacing w:line="240" w:lineRule="auto"/>
        <w:jc w:val="center"/>
        <w:rPr>
          <w:b/>
          <w:sz w:val="24"/>
        </w:rPr>
      </w:pPr>
      <w:r w:rsidRPr="00930C9C">
        <w:rPr>
          <w:b/>
          <w:sz w:val="24"/>
          <w:u w:val="single"/>
        </w:rPr>
        <w:t>Travail à réaliser</w:t>
      </w:r>
      <w:r w:rsidRPr="00930C9C">
        <w:rPr>
          <w:b/>
          <w:sz w:val="24"/>
        </w:rPr>
        <w:t> :</w:t>
      </w:r>
    </w:p>
    <w:p w:rsidR="004C77FF" w:rsidRDefault="004C77FF" w:rsidP="00B60935">
      <w:pPr>
        <w:spacing w:after="0"/>
        <w:jc w:val="center"/>
      </w:pPr>
      <w:r>
        <w:rPr>
          <w:rFonts w:cstheme="minorHAnsi"/>
        </w:rPr>
        <w:t>À</w:t>
      </w:r>
      <w:r w:rsidR="00C56F79">
        <w:t xml:space="preserve"> l’aide de ce document et de vos connaissances,</w:t>
      </w:r>
      <w:r>
        <w:t xml:space="preserve"> répondre à la question suivante :</w:t>
      </w:r>
    </w:p>
    <w:p w:rsidR="00EF7228" w:rsidRDefault="004C77FF" w:rsidP="00B60935">
      <w:pPr>
        <w:spacing w:after="0"/>
        <w:jc w:val="center"/>
      </w:pPr>
      <w:r>
        <w:t xml:space="preserve">La </w:t>
      </w:r>
      <w:r w:rsidR="002C594F">
        <w:t>pierre lancée par Jennifer Jones a-t-elle dépassé la camér</w:t>
      </w:r>
      <w:r w:rsidR="00252A99">
        <w:t>a n°2</w:t>
      </w:r>
      <w:r w:rsidR="00392C22">
        <w:t> lors de son passage sur la deuxième hogline ?</w:t>
      </w:r>
    </w:p>
    <w:p w:rsidR="00B60935" w:rsidRDefault="00B60935" w:rsidP="00B60935">
      <w:pPr>
        <w:pStyle w:val="NormalWeb"/>
        <w:jc w:val="center"/>
        <w:rPr>
          <w:i/>
          <w:color w:val="000000" w:themeColor="text1"/>
        </w:rPr>
      </w:pPr>
    </w:p>
    <w:p w:rsidR="00546F29" w:rsidRDefault="00546F29" w:rsidP="00B60935">
      <w:pPr>
        <w:pStyle w:val="NormalWeb"/>
        <w:pBdr>
          <w:top w:val="single" w:sz="4" w:space="1" w:color="auto"/>
          <w:left w:val="single" w:sz="4" w:space="4" w:color="auto"/>
          <w:bottom w:val="single" w:sz="4" w:space="1" w:color="auto"/>
          <w:right w:val="single" w:sz="4" w:space="4" w:color="auto"/>
        </w:pBdr>
        <w:jc w:val="center"/>
        <w:rPr>
          <w:i/>
          <w:color w:val="000000" w:themeColor="text1"/>
        </w:rPr>
      </w:pPr>
      <w:r>
        <w:rPr>
          <w:i/>
          <w:color w:val="000000" w:themeColor="text1"/>
        </w:rPr>
        <w:t>Un peu d’histoire des sciences</w:t>
      </w:r>
    </w:p>
    <w:p w:rsidR="00546F29" w:rsidRPr="00546F29" w:rsidRDefault="00546F29" w:rsidP="00546F29">
      <w:pPr>
        <w:pStyle w:val="NormalWeb"/>
        <w:rPr>
          <w:i/>
          <w:color w:val="000000" w:themeColor="text1"/>
        </w:rPr>
      </w:pPr>
      <w:r w:rsidRPr="00546F29">
        <w:rPr>
          <w:i/>
          <w:color w:val="000000" w:themeColor="text1"/>
        </w:rPr>
        <w:t xml:space="preserve">Le </w:t>
      </w:r>
      <w:r w:rsidRPr="00546F29">
        <w:rPr>
          <w:b/>
          <w:bCs/>
          <w:i/>
          <w:color w:val="000000" w:themeColor="text1"/>
        </w:rPr>
        <w:t>pied</w:t>
      </w:r>
      <w:r w:rsidRPr="00546F29">
        <w:rPr>
          <w:i/>
          <w:color w:val="000000" w:themeColor="text1"/>
        </w:rPr>
        <w:t xml:space="preserve"> (</w:t>
      </w:r>
      <w:hyperlink r:id="rId15" w:tooltip="Symbole" w:history="1">
        <w:r w:rsidRPr="00546F29">
          <w:rPr>
            <w:rStyle w:val="Lienhypertexte"/>
            <w:i/>
            <w:color w:val="000000" w:themeColor="text1"/>
            <w:u w:val="none"/>
          </w:rPr>
          <w:t>symbole</w:t>
        </w:r>
      </w:hyperlink>
      <w:r w:rsidRPr="00546F29">
        <w:rPr>
          <w:i/>
          <w:color w:val="000000" w:themeColor="text1"/>
        </w:rPr>
        <w:t xml:space="preserve"> </w:t>
      </w:r>
      <w:r w:rsidR="00392C22" w:rsidRPr="00392C22">
        <w:rPr>
          <w:b/>
          <w:i/>
        </w:rPr>
        <w:t>'</w:t>
      </w:r>
      <w:r w:rsidR="00392C22">
        <w:rPr>
          <w:b/>
          <w:i/>
        </w:rPr>
        <w:t xml:space="preserve"> </w:t>
      </w:r>
      <w:r w:rsidRPr="00546F29">
        <w:rPr>
          <w:i/>
          <w:color w:val="000000" w:themeColor="text1"/>
        </w:rPr>
        <w:t xml:space="preserve"> ou encore </w:t>
      </w:r>
      <w:r w:rsidRPr="00546F29">
        <w:rPr>
          <w:b/>
          <w:bCs/>
          <w:i/>
          <w:color w:val="000000" w:themeColor="text1"/>
        </w:rPr>
        <w:t>ft</w:t>
      </w:r>
      <w:bookmarkStart w:id="0" w:name="_GoBack"/>
      <w:bookmarkEnd w:id="0"/>
      <w:r w:rsidRPr="00546F29">
        <w:rPr>
          <w:i/>
          <w:color w:val="000000" w:themeColor="text1"/>
        </w:rPr>
        <w:t>, de l'</w:t>
      </w:r>
      <w:hyperlink r:id="rId16" w:tooltip="Anglais" w:history="1">
        <w:r w:rsidRPr="00546F29">
          <w:rPr>
            <w:rStyle w:val="Lienhypertexte"/>
            <w:i/>
            <w:color w:val="000000" w:themeColor="text1"/>
            <w:u w:val="none"/>
          </w:rPr>
          <w:t>anglais</w:t>
        </w:r>
      </w:hyperlink>
      <w:r w:rsidRPr="00546F29">
        <w:rPr>
          <w:i/>
          <w:color w:val="000000" w:themeColor="text1"/>
        </w:rPr>
        <w:t xml:space="preserve"> </w:t>
      </w:r>
      <w:r w:rsidRPr="00546F29">
        <w:rPr>
          <w:rStyle w:val="lang-en"/>
          <w:i/>
          <w:iCs/>
          <w:color w:val="000000" w:themeColor="text1"/>
        </w:rPr>
        <w:t>foot</w:t>
      </w:r>
      <w:r w:rsidRPr="00546F29">
        <w:rPr>
          <w:i/>
          <w:color w:val="000000" w:themeColor="text1"/>
        </w:rPr>
        <w:t xml:space="preserve"> : « pied ») est une unité de </w:t>
      </w:r>
      <w:hyperlink r:id="rId17" w:tooltip="Longueur" w:history="1">
        <w:r w:rsidRPr="00546F29">
          <w:rPr>
            <w:rStyle w:val="Lienhypertexte"/>
            <w:i/>
            <w:color w:val="000000" w:themeColor="text1"/>
            <w:u w:val="none"/>
          </w:rPr>
          <w:t>longueur</w:t>
        </w:r>
      </w:hyperlink>
      <w:r>
        <w:rPr>
          <w:i/>
          <w:color w:val="000000" w:themeColor="text1"/>
        </w:rPr>
        <w:t xml:space="preserve"> correspondant </w:t>
      </w:r>
      <w:r w:rsidRPr="00546F29">
        <w:rPr>
          <w:i/>
          <w:color w:val="000000" w:themeColor="text1"/>
        </w:rPr>
        <w:t xml:space="preserve">à la </w:t>
      </w:r>
      <w:r w:rsidRPr="00546F29">
        <w:rPr>
          <w:b/>
          <w:i/>
          <w:color w:val="000000" w:themeColor="text1"/>
          <w:u w:val="single"/>
        </w:rPr>
        <w:t xml:space="preserve">longueur d'un </w:t>
      </w:r>
      <w:hyperlink r:id="rId18" w:tooltip="Pied (anatomie)" w:history="1">
        <w:r w:rsidRPr="00546F29">
          <w:rPr>
            <w:rStyle w:val="Lienhypertexte"/>
            <w:b/>
            <w:i/>
            <w:color w:val="000000" w:themeColor="text1"/>
          </w:rPr>
          <w:t>pied</w:t>
        </w:r>
      </w:hyperlink>
      <w:r w:rsidRPr="00546F29">
        <w:rPr>
          <w:b/>
          <w:i/>
          <w:color w:val="000000" w:themeColor="text1"/>
          <w:u w:val="single"/>
        </w:rPr>
        <w:t xml:space="preserve"> humain</w:t>
      </w:r>
      <w:r w:rsidRPr="00546F29">
        <w:rPr>
          <w:i/>
          <w:color w:val="000000" w:themeColor="text1"/>
        </w:rPr>
        <w:t xml:space="preserve">, c'est-à-dire un peu plus de trente </w:t>
      </w:r>
      <w:hyperlink r:id="rId19" w:tooltip="Centimètre" w:history="1">
        <w:r w:rsidRPr="00546F29">
          <w:rPr>
            <w:rStyle w:val="Lienhypertexte"/>
            <w:i/>
            <w:color w:val="000000" w:themeColor="text1"/>
            <w:u w:val="none"/>
          </w:rPr>
          <w:t>centimètres</w:t>
        </w:r>
      </w:hyperlink>
      <w:r w:rsidRPr="00546F29">
        <w:rPr>
          <w:i/>
          <w:color w:val="000000" w:themeColor="text1"/>
        </w:rPr>
        <w:t xml:space="preserve">. </w:t>
      </w:r>
    </w:p>
    <w:p w:rsidR="00546F29" w:rsidRDefault="00546F29" w:rsidP="00546F29">
      <w:pPr>
        <w:pStyle w:val="NormalWeb"/>
        <w:rPr>
          <w:i/>
          <w:color w:val="000000" w:themeColor="text1"/>
        </w:rPr>
      </w:pPr>
      <w:r w:rsidRPr="00546F29">
        <w:rPr>
          <w:rStyle w:val="needref"/>
          <w:i/>
          <w:color w:val="000000" w:themeColor="text1"/>
        </w:rPr>
        <w:t xml:space="preserve">Avec la </w:t>
      </w:r>
      <w:hyperlink r:id="rId20" w:tooltip="Coudée" w:history="1">
        <w:r w:rsidRPr="00546F29">
          <w:rPr>
            <w:rStyle w:val="Lienhypertexte"/>
            <w:i/>
            <w:color w:val="000000" w:themeColor="text1"/>
            <w:u w:val="none"/>
          </w:rPr>
          <w:t>coudée</w:t>
        </w:r>
      </w:hyperlink>
      <w:r w:rsidRPr="00546F29">
        <w:rPr>
          <w:rStyle w:val="needref"/>
          <w:i/>
          <w:color w:val="000000" w:themeColor="text1"/>
        </w:rPr>
        <w:t xml:space="preserve"> et le </w:t>
      </w:r>
      <w:hyperlink r:id="rId21" w:tooltip="Doigt (unité)" w:history="1">
        <w:r w:rsidRPr="00546F29">
          <w:rPr>
            <w:rStyle w:val="Lienhypertexte"/>
            <w:i/>
            <w:color w:val="000000" w:themeColor="text1"/>
            <w:u w:val="none"/>
          </w:rPr>
          <w:t>doigt</w:t>
        </w:r>
      </w:hyperlink>
      <w:r w:rsidRPr="00546F29">
        <w:rPr>
          <w:rStyle w:val="needref"/>
          <w:i/>
          <w:color w:val="000000" w:themeColor="text1"/>
        </w:rPr>
        <w:t>, le pied est l'unité de mesure la plus ancienne de l'histoire de l'humanité</w:t>
      </w:r>
      <w:r w:rsidRPr="00546F29">
        <w:rPr>
          <w:i/>
          <w:color w:val="000000" w:themeColor="text1"/>
        </w:rPr>
        <w:t xml:space="preserve">. </w:t>
      </w:r>
      <w:r w:rsidRPr="00546F29">
        <w:rPr>
          <w:rStyle w:val="needref"/>
          <w:i/>
          <w:color w:val="000000" w:themeColor="text1"/>
        </w:rPr>
        <w:t xml:space="preserve">En tant qu'unité sur des règles graduées, il est attesté depuis le début du </w:t>
      </w:r>
      <w:r w:rsidRPr="00546F29">
        <w:rPr>
          <w:rStyle w:val="romain"/>
          <w:i/>
          <w:caps/>
          <w:color w:val="000000" w:themeColor="text1"/>
        </w:rPr>
        <w:t>III</w:t>
      </w:r>
      <w:r w:rsidRPr="00546F29">
        <w:rPr>
          <w:rStyle w:val="needref"/>
          <w:i/>
          <w:color w:val="000000" w:themeColor="text1"/>
          <w:sz w:val="20"/>
          <w:szCs w:val="20"/>
          <w:vertAlign w:val="superscript"/>
        </w:rPr>
        <w:t>e</w:t>
      </w:r>
      <w:r w:rsidRPr="00546F29">
        <w:rPr>
          <w:rStyle w:val="needref"/>
          <w:i/>
          <w:color w:val="000000" w:themeColor="text1"/>
        </w:rPr>
        <w:t> millénaire av. J.-C., où il est déjà divisé en seize doigts</w:t>
      </w:r>
      <w:hyperlink r:id="rId22" w:tooltip="Aide:Référence nécessaire" w:history="1"/>
      <w:r w:rsidRPr="00546F29">
        <w:rPr>
          <w:i/>
          <w:color w:val="000000" w:themeColor="text1"/>
        </w:rPr>
        <w:t>. Cette subdivision dite « digitale » fut la règle pendant l'</w:t>
      </w:r>
      <w:hyperlink r:id="rId23" w:tooltip="Antiquité" w:history="1">
        <w:r w:rsidRPr="00546F29">
          <w:rPr>
            <w:rStyle w:val="Lienhypertexte"/>
            <w:i/>
            <w:color w:val="000000" w:themeColor="text1"/>
            <w:u w:val="none"/>
          </w:rPr>
          <w:t>Antiquité</w:t>
        </w:r>
      </w:hyperlink>
      <w:r w:rsidRPr="00546F29">
        <w:rPr>
          <w:i/>
          <w:color w:val="000000" w:themeColor="text1"/>
        </w:rPr>
        <w:t>.</w:t>
      </w:r>
    </w:p>
    <w:p w:rsidR="00546F29" w:rsidRDefault="00546F29" w:rsidP="00546F29">
      <w:pPr>
        <w:pStyle w:val="NormalWeb"/>
        <w:spacing w:before="0" w:beforeAutospacing="0" w:after="0" w:afterAutospacing="0"/>
        <w:jc w:val="right"/>
        <w:rPr>
          <w:i/>
          <w:color w:val="000000" w:themeColor="text1"/>
        </w:rPr>
      </w:pPr>
      <w:r>
        <w:rPr>
          <w:i/>
          <w:color w:val="000000" w:themeColor="text1"/>
        </w:rPr>
        <w:t xml:space="preserve">Source : </w:t>
      </w:r>
      <w:hyperlink r:id="rId24" w:history="1">
        <w:r w:rsidRPr="00980E42">
          <w:rPr>
            <w:rStyle w:val="Lienhypertexte"/>
            <w:i/>
          </w:rPr>
          <w:t>https://fr.wikipedia.org/wiki/Pied_(unité)</w:t>
        </w:r>
      </w:hyperlink>
    </w:p>
    <w:p w:rsidR="00546F29" w:rsidRDefault="00546F29" w:rsidP="00546F29">
      <w:pPr>
        <w:pStyle w:val="NormalWeb"/>
        <w:spacing w:before="0" w:beforeAutospacing="0" w:after="0" w:afterAutospacing="0"/>
        <w:jc w:val="right"/>
        <w:rPr>
          <w:i/>
          <w:color w:val="000000" w:themeColor="text1"/>
        </w:rPr>
      </w:pPr>
    </w:p>
    <w:sectPr w:rsidR="00546F29" w:rsidSect="004C77FF">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36B"/>
    <w:multiLevelType w:val="hybridMultilevel"/>
    <w:tmpl w:val="07BAD1DE"/>
    <w:lvl w:ilvl="0" w:tplc="B8228D60">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8529E1"/>
    <w:multiLevelType w:val="hybridMultilevel"/>
    <w:tmpl w:val="76B800AE"/>
    <w:lvl w:ilvl="0" w:tplc="0AF2556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8D56C6"/>
    <w:multiLevelType w:val="hybridMultilevel"/>
    <w:tmpl w:val="793083FA"/>
    <w:lvl w:ilvl="0" w:tplc="040C0017">
      <w:start w:val="1"/>
      <w:numFmt w:val="lowerLetter"/>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BEB0E9C"/>
    <w:multiLevelType w:val="hybridMultilevel"/>
    <w:tmpl w:val="749CF7FA"/>
    <w:lvl w:ilvl="0" w:tplc="C3C84D72">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D24EB2"/>
    <w:multiLevelType w:val="hybridMultilevel"/>
    <w:tmpl w:val="8BF6C8A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640181D"/>
    <w:multiLevelType w:val="hybridMultilevel"/>
    <w:tmpl w:val="8BF6C8A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6E05D3C"/>
    <w:multiLevelType w:val="hybridMultilevel"/>
    <w:tmpl w:val="8BF6C8A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1541CC"/>
    <w:rsid w:val="00042D44"/>
    <w:rsid w:val="000956B2"/>
    <w:rsid w:val="00097223"/>
    <w:rsid w:val="00103692"/>
    <w:rsid w:val="001541CC"/>
    <w:rsid w:val="00203879"/>
    <w:rsid w:val="00252A99"/>
    <w:rsid w:val="002A5A21"/>
    <w:rsid w:val="002C0510"/>
    <w:rsid w:val="002C3A45"/>
    <w:rsid w:val="002C594F"/>
    <w:rsid w:val="002C6942"/>
    <w:rsid w:val="002F30A8"/>
    <w:rsid w:val="00392C22"/>
    <w:rsid w:val="004322D5"/>
    <w:rsid w:val="00434381"/>
    <w:rsid w:val="00434583"/>
    <w:rsid w:val="004C0426"/>
    <w:rsid w:val="004C77FF"/>
    <w:rsid w:val="004E5059"/>
    <w:rsid w:val="004F34CC"/>
    <w:rsid w:val="0054256E"/>
    <w:rsid w:val="00546F29"/>
    <w:rsid w:val="00554F07"/>
    <w:rsid w:val="005B0F16"/>
    <w:rsid w:val="005F4C0D"/>
    <w:rsid w:val="00683E99"/>
    <w:rsid w:val="006C2290"/>
    <w:rsid w:val="006E3441"/>
    <w:rsid w:val="00717FA8"/>
    <w:rsid w:val="007B2699"/>
    <w:rsid w:val="007E1F08"/>
    <w:rsid w:val="007E51C7"/>
    <w:rsid w:val="00880BE5"/>
    <w:rsid w:val="00930C9C"/>
    <w:rsid w:val="00970D6F"/>
    <w:rsid w:val="009A3B3B"/>
    <w:rsid w:val="00A20C6D"/>
    <w:rsid w:val="00A81A0F"/>
    <w:rsid w:val="00B25F17"/>
    <w:rsid w:val="00B44055"/>
    <w:rsid w:val="00B60935"/>
    <w:rsid w:val="00B737E2"/>
    <w:rsid w:val="00BB2E16"/>
    <w:rsid w:val="00BF19D5"/>
    <w:rsid w:val="00C56F79"/>
    <w:rsid w:val="00C745F2"/>
    <w:rsid w:val="00D27256"/>
    <w:rsid w:val="00D44D71"/>
    <w:rsid w:val="00EF7228"/>
    <w:rsid w:val="00F02E65"/>
    <w:rsid w:val="00F82400"/>
    <w:rsid w:val="00FA1982"/>
    <w:rsid w:val="00FD2F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DF904"/>
  <w15:docId w15:val="{96DFFB10-9416-4E4C-89C8-2BDC8459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5F17"/>
  </w:style>
  <w:style w:type="paragraph" w:styleId="Titre1">
    <w:name w:val="heading 1"/>
    <w:basedOn w:val="Normal"/>
    <w:link w:val="Titre1Car"/>
    <w:uiPriority w:val="9"/>
    <w:qFormat/>
    <w:rsid w:val="007E1F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541C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541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41CC"/>
    <w:rPr>
      <w:rFonts w:ascii="Tahoma" w:hAnsi="Tahoma" w:cs="Tahoma"/>
      <w:sz w:val="16"/>
      <w:szCs w:val="16"/>
    </w:rPr>
  </w:style>
  <w:style w:type="character" w:styleId="Lienhypertexte">
    <w:name w:val="Hyperlink"/>
    <w:basedOn w:val="Policepardfaut"/>
    <w:uiPriority w:val="99"/>
    <w:unhideWhenUsed/>
    <w:rsid w:val="004C0426"/>
    <w:rPr>
      <w:color w:val="0000FF" w:themeColor="hyperlink"/>
      <w:u w:val="single"/>
    </w:rPr>
  </w:style>
  <w:style w:type="character" w:customStyle="1" w:styleId="Titre1Car">
    <w:name w:val="Titre 1 Car"/>
    <w:basedOn w:val="Policepardfaut"/>
    <w:link w:val="Titre1"/>
    <w:uiPriority w:val="9"/>
    <w:rsid w:val="007E1F08"/>
    <w:rPr>
      <w:rFonts w:ascii="Times New Roman" w:eastAsia="Times New Roman" w:hAnsi="Times New Roman" w:cs="Times New Roman"/>
      <w:b/>
      <w:bCs/>
      <w:kern w:val="36"/>
      <w:sz w:val="48"/>
      <w:szCs w:val="48"/>
      <w:lang w:eastAsia="fr-FR"/>
    </w:rPr>
  </w:style>
  <w:style w:type="table" w:styleId="Grilledutableau">
    <w:name w:val="Table Grid"/>
    <w:basedOn w:val="TableauNormal"/>
    <w:uiPriority w:val="59"/>
    <w:rsid w:val="00434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34583"/>
    <w:pPr>
      <w:ind w:left="720"/>
      <w:contextualSpacing/>
    </w:pPr>
  </w:style>
  <w:style w:type="character" w:customStyle="1" w:styleId="watch-title">
    <w:name w:val="watch-title"/>
    <w:basedOn w:val="Policepardfaut"/>
    <w:rsid w:val="00042D44"/>
  </w:style>
  <w:style w:type="character" w:customStyle="1" w:styleId="nowrap">
    <w:name w:val="nowrap"/>
    <w:basedOn w:val="Policepardfaut"/>
    <w:rsid w:val="00D44D71"/>
  </w:style>
  <w:style w:type="character" w:styleId="Lienhypertextesuivivisit">
    <w:name w:val="FollowedHyperlink"/>
    <w:basedOn w:val="Policepardfaut"/>
    <w:uiPriority w:val="99"/>
    <w:semiHidden/>
    <w:unhideWhenUsed/>
    <w:rsid w:val="00EF7228"/>
    <w:rPr>
      <w:color w:val="800080" w:themeColor="followedHyperlink"/>
      <w:u w:val="single"/>
    </w:rPr>
  </w:style>
  <w:style w:type="character" w:customStyle="1" w:styleId="lang-en">
    <w:name w:val="lang-en"/>
    <w:basedOn w:val="Policepardfaut"/>
    <w:rsid w:val="00546F29"/>
  </w:style>
  <w:style w:type="character" w:customStyle="1" w:styleId="needref">
    <w:name w:val="need_ref"/>
    <w:basedOn w:val="Policepardfaut"/>
    <w:rsid w:val="00546F29"/>
  </w:style>
  <w:style w:type="character" w:customStyle="1" w:styleId="romain">
    <w:name w:val="romain"/>
    <w:basedOn w:val="Policepardfaut"/>
    <w:rsid w:val="0054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85073">
      <w:bodyDiv w:val="1"/>
      <w:marLeft w:val="0"/>
      <w:marRight w:val="0"/>
      <w:marTop w:val="0"/>
      <w:marBottom w:val="0"/>
      <w:divBdr>
        <w:top w:val="none" w:sz="0" w:space="0" w:color="auto"/>
        <w:left w:val="none" w:sz="0" w:space="0" w:color="auto"/>
        <w:bottom w:val="none" w:sz="0" w:space="0" w:color="auto"/>
        <w:right w:val="none" w:sz="0" w:space="0" w:color="auto"/>
      </w:divBdr>
    </w:div>
    <w:div w:id="222834476">
      <w:bodyDiv w:val="1"/>
      <w:marLeft w:val="0"/>
      <w:marRight w:val="0"/>
      <w:marTop w:val="0"/>
      <w:marBottom w:val="0"/>
      <w:divBdr>
        <w:top w:val="none" w:sz="0" w:space="0" w:color="auto"/>
        <w:left w:val="none" w:sz="0" w:space="0" w:color="auto"/>
        <w:bottom w:val="none" w:sz="0" w:space="0" w:color="auto"/>
        <w:right w:val="none" w:sz="0" w:space="0" w:color="auto"/>
      </w:divBdr>
    </w:div>
    <w:div w:id="398286438">
      <w:bodyDiv w:val="1"/>
      <w:marLeft w:val="0"/>
      <w:marRight w:val="0"/>
      <w:marTop w:val="0"/>
      <w:marBottom w:val="0"/>
      <w:divBdr>
        <w:top w:val="none" w:sz="0" w:space="0" w:color="auto"/>
        <w:left w:val="none" w:sz="0" w:space="0" w:color="auto"/>
        <w:bottom w:val="none" w:sz="0" w:space="0" w:color="auto"/>
        <w:right w:val="none" w:sz="0" w:space="0" w:color="auto"/>
      </w:divBdr>
    </w:div>
    <w:div w:id="1243415979">
      <w:bodyDiv w:val="1"/>
      <w:marLeft w:val="0"/>
      <w:marRight w:val="0"/>
      <w:marTop w:val="0"/>
      <w:marBottom w:val="0"/>
      <w:divBdr>
        <w:top w:val="none" w:sz="0" w:space="0" w:color="auto"/>
        <w:left w:val="none" w:sz="0" w:space="0" w:color="auto"/>
        <w:bottom w:val="none" w:sz="0" w:space="0" w:color="auto"/>
        <w:right w:val="none" w:sz="0" w:space="0" w:color="auto"/>
      </w:divBdr>
    </w:div>
    <w:div w:id="165132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urling_aux_Jeux_olympiques_de_1924" TargetMode="External"/><Relationship Id="rId13" Type="http://schemas.openxmlformats.org/officeDocument/2006/relationships/image" Target="media/image4.png"/><Relationship Id="rId18" Type="http://schemas.openxmlformats.org/officeDocument/2006/relationships/hyperlink" Target="https://fr.wikipedia.org/wiki/Pied_%28anatomie%2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fr.wikipedia.org/wiki/Doigt_%28unit%C3%A9%29" TargetMode="External"/><Relationship Id="rId7" Type="http://schemas.openxmlformats.org/officeDocument/2006/relationships/hyperlink" Target="https://fr.wikipedia.org/wiki/Granite" TargetMode="External"/><Relationship Id="rId12" Type="http://schemas.openxmlformats.org/officeDocument/2006/relationships/image" Target="media/image3.png"/><Relationship Id="rId17" Type="http://schemas.openxmlformats.org/officeDocument/2006/relationships/hyperlink" Target="https://fr.wikipedia.org/wiki/Longueu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r.wikipedia.org/wiki/Anglais" TargetMode="External"/><Relationship Id="rId20" Type="http://schemas.openxmlformats.org/officeDocument/2006/relationships/hyperlink" Target="https://fr.wikipedia.org/wiki/Coud%C3%A9e" TargetMode="External"/><Relationship Id="rId1" Type="http://schemas.openxmlformats.org/officeDocument/2006/relationships/numbering" Target="numbering.xml"/><Relationship Id="rId6" Type="http://schemas.openxmlformats.org/officeDocument/2006/relationships/hyperlink" Target="https://fr.wikipedia.org/wiki/Glace" TargetMode="External"/><Relationship Id="rId11" Type="http://schemas.openxmlformats.org/officeDocument/2006/relationships/image" Target="media/image2.png"/><Relationship Id="rId24" Type="http://schemas.openxmlformats.org/officeDocument/2006/relationships/hyperlink" Target="https://fr.wikipedia.org/wiki/Pied_(unit&#233;)" TargetMode="External"/><Relationship Id="rId5" Type="http://schemas.openxmlformats.org/officeDocument/2006/relationships/hyperlink" Target="https://fr.wikipedia.org/wiki/Sport" TargetMode="External"/><Relationship Id="rId15" Type="http://schemas.openxmlformats.org/officeDocument/2006/relationships/hyperlink" Target="https://fr.wikipedia.org/wiki/Symbole" TargetMode="External"/><Relationship Id="rId23" Type="http://schemas.openxmlformats.org/officeDocument/2006/relationships/hyperlink" Target="https://fr.wikipedia.org/wiki/Antiquit%C3%A9" TargetMode="External"/><Relationship Id="rId10" Type="http://schemas.openxmlformats.org/officeDocument/2006/relationships/image" Target="media/image1.png"/><Relationship Id="rId19" Type="http://schemas.openxmlformats.org/officeDocument/2006/relationships/hyperlink" Target="https://fr.wikipedia.org/wiki/Centim%C3%A8tre" TargetMode="External"/><Relationship Id="rId4" Type="http://schemas.openxmlformats.org/officeDocument/2006/relationships/webSettings" Target="webSettings.xml"/><Relationship Id="rId9" Type="http://schemas.openxmlformats.org/officeDocument/2006/relationships/hyperlink" Target="https://fr.wikipedia.org/wiki/Curling" TargetMode="External"/><Relationship Id="rId14" Type="http://schemas.openxmlformats.org/officeDocument/2006/relationships/hyperlink" Target="https://www.youtube.com/watch?v=CM5mFH3_Qhs" TargetMode="External"/><Relationship Id="rId22" Type="http://schemas.openxmlformats.org/officeDocument/2006/relationships/hyperlink" Target="https://fr.wikipedia.org/wiki/Aide:R%C3%A9f%C3%A9rence_n%C3%A9cessai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2</Pages>
  <Words>766</Words>
  <Characters>4217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paillasse 01</dc:creator>
  <cp:keywords/>
  <dc:description/>
  <cp:lastModifiedBy>Patrice BUFFET</cp:lastModifiedBy>
  <cp:revision>22</cp:revision>
  <cp:lastPrinted>2016-10-09T18:09:00Z</cp:lastPrinted>
  <dcterms:created xsi:type="dcterms:W3CDTF">2016-08-28T22:09:00Z</dcterms:created>
  <dcterms:modified xsi:type="dcterms:W3CDTF">2017-01-22T13:45:00Z</dcterms:modified>
</cp:coreProperties>
</file>