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1" w:rsidRDefault="00997CD4" w:rsidP="000B5F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ETUDE EXPERIMENTALE DE </w:t>
      </w:r>
      <w:r w:rsidR="000B5F11">
        <w:rPr>
          <w:sz w:val="40"/>
          <w:szCs w:val="40"/>
        </w:rPr>
        <w:t>LA RADIOACTIVITE NATURELLE</w:t>
      </w:r>
      <w:r>
        <w:rPr>
          <w:sz w:val="40"/>
          <w:szCs w:val="40"/>
        </w:rPr>
        <w:t xml:space="preserve"> : </w:t>
      </w:r>
      <w:r w:rsidR="000B5F11">
        <w:rPr>
          <w:sz w:val="40"/>
          <w:szCs w:val="40"/>
        </w:rPr>
        <w:t>LE POTASSIUM 40</w:t>
      </w:r>
    </w:p>
    <w:p w:rsidR="00D7308E" w:rsidRDefault="00D7308E" w:rsidP="0038163B">
      <w:pPr>
        <w:rPr>
          <w:sz w:val="28"/>
          <w:szCs w:val="28"/>
        </w:rPr>
      </w:pPr>
      <w:r>
        <w:rPr>
          <w:sz w:val="28"/>
          <w:szCs w:val="28"/>
        </w:rPr>
        <w:t>OBJECTIFS</w:t>
      </w:r>
    </w:p>
    <w:p w:rsidR="0038163B" w:rsidRDefault="00D7308E" w:rsidP="0038163B">
      <w:pPr>
        <w:rPr>
          <w:sz w:val="28"/>
          <w:szCs w:val="28"/>
        </w:rPr>
      </w:pPr>
      <w:r>
        <w:rPr>
          <w:sz w:val="28"/>
          <w:szCs w:val="28"/>
        </w:rPr>
        <w:t>Utiliser l</w:t>
      </w:r>
      <w:r w:rsidR="0038163B">
        <w:rPr>
          <w:sz w:val="28"/>
          <w:szCs w:val="28"/>
        </w:rPr>
        <w:t xml:space="preserve">e C.R.A.B. et </w:t>
      </w:r>
      <w:r w:rsidR="00516143">
        <w:rPr>
          <w:sz w:val="28"/>
          <w:szCs w:val="28"/>
        </w:rPr>
        <w:t>des échantillons de chlorure de potassium, nitrate de potassium et chlorure de sodium pour mettre en évidence la radioactivité naturelle due au potassium 40</w:t>
      </w:r>
      <w:r>
        <w:rPr>
          <w:sz w:val="28"/>
          <w:szCs w:val="28"/>
        </w:rPr>
        <w:t>.</w:t>
      </w:r>
    </w:p>
    <w:p w:rsidR="00A81A37" w:rsidRPr="0038163B" w:rsidRDefault="00253CA0" w:rsidP="0038163B">
      <w:pPr>
        <w:rPr>
          <w:sz w:val="28"/>
          <w:szCs w:val="28"/>
        </w:rPr>
      </w:pPr>
      <w:r>
        <w:rPr>
          <w:sz w:val="28"/>
          <w:szCs w:val="28"/>
        </w:rPr>
        <w:t>PETITS RAPPELS SUR LE POTASSIUM 40</w:t>
      </w:r>
    </w:p>
    <w:p w:rsidR="001B3239" w:rsidRDefault="000B5F11" w:rsidP="001B3239">
      <w:pPr>
        <w:rPr>
          <w:sz w:val="28"/>
          <w:szCs w:val="28"/>
        </w:rPr>
      </w:pPr>
      <w:r>
        <w:rPr>
          <w:sz w:val="28"/>
          <w:szCs w:val="28"/>
        </w:rPr>
        <w:t xml:space="preserve">Le potassium 40 est un émetteur de rayonnement </w:t>
      </w:r>
      <w:r w:rsidRPr="000B5F11">
        <w:rPr>
          <w:rFonts w:ascii="Symbol" w:hAnsi="Symbol"/>
          <w:sz w:val="28"/>
          <w:szCs w:val="28"/>
        </w:rPr>
        <w:t></w:t>
      </w:r>
      <w:r w:rsidRPr="000B5F11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  <w:r w:rsidR="0001744D">
        <w:rPr>
          <w:sz w:val="28"/>
          <w:szCs w:val="28"/>
        </w:rPr>
        <w:t>(89% des désintégrations)</w:t>
      </w:r>
      <w:r>
        <w:rPr>
          <w:sz w:val="28"/>
          <w:szCs w:val="28"/>
        </w:rPr>
        <w:t>, c’est un iso</w:t>
      </w:r>
      <w:r w:rsidR="001B3239">
        <w:rPr>
          <w:sz w:val="28"/>
          <w:szCs w:val="28"/>
        </w:rPr>
        <w:t>tope naturel de l’élément potassium (</w:t>
      </w:r>
      <w:r>
        <w:rPr>
          <w:sz w:val="28"/>
          <w:szCs w:val="28"/>
        </w:rPr>
        <w:t>0,0</w:t>
      </w:r>
      <w:r w:rsidR="001B3239">
        <w:rPr>
          <w:sz w:val="28"/>
          <w:szCs w:val="28"/>
        </w:rPr>
        <w:t>12</w:t>
      </w:r>
      <w:r>
        <w:rPr>
          <w:sz w:val="28"/>
          <w:szCs w:val="28"/>
        </w:rPr>
        <w:t xml:space="preserve">%). </w:t>
      </w:r>
    </w:p>
    <w:p w:rsidR="00A81A37" w:rsidRDefault="00253CA0" w:rsidP="00A81A37">
      <w:pPr>
        <w:spacing w:after="0"/>
        <w:rPr>
          <w:sz w:val="28"/>
          <w:szCs w:val="28"/>
        </w:rPr>
      </w:pPr>
      <w:r>
        <w:rPr>
          <w:sz w:val="28"/>
          <w:szCs w:val="28"/>
        </w:rPr>
        <w:t>La masse</w:t>
      </w:r>
      <w:r w:rsidR="001B3239">
        <w:rPr>
          <w:sz w:val="28"/>
          <w:szCs w:val="28"/>
        </w:rPr>
        <w:t xml:space="preserve"> totale de potassium contenue dans un corps humain est en moyenne d’environ 160 </w:t>
      </w:r>
      <w:r w:rsidR="003F6931">
        <w:rPr>
          <w:sz w:val="28"/>
          <w:szCs w:val="28"/>
        </w:rPr>
        <w:t>g</w:t>
      </w:r>
      <w:r w:rsidR="00D93BE0">
        <w:rPr>
          <w:rStyle w:val="Appelnotedebasdep"/>
          <w:sz w:val="28"/>
          <w:szCs w:val="28"/>
        </w:rPr>
        <w:footnoteReference w:id="1"/>
      </w:r>
      <w:r w:rsidR="003F6931">
        <w:rPr>
          <w:sz w:val="28"/>
          <w:szCs w:val="28"/>
        </w:rPr>
        <w:t>,</w:t>
      </w:r>
      <w:r w:rsidR="001B3239">
        <w:rPr>
          <w:sz w:val="28"/>
          <w:szCs w:val="28"/>
        </w:rPr>
        <w:t xml:space="preserve"> soit 19 mg de K </w:t>
      </w:r>
      <w:r w:rsidR="003F6931">
        <w:rPr>
          <w:sz w:val="28"/>
          <w:szCs w:val="28"/>
        </w:rPr>
        <w:t>40.</w:t>
      </w:r>
    </w:p>
    <w:p w:rsidR="001B3239" w:rsidRDefault="001B3239" w:rsidP="00A81A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L’activité de 1 g de K40 </w:t>
      </w:r>
      <w:r w:rsidR="003F6931">
        <w:rPr>
          <w:sz w:val="28"/>
          <w:szCs w:val="28"/>
        </w:rPr>
        <w:t xml:space="preserve"> pur </w:t>
      </w:r>
      <w:r>
        <w:rPr>
          <w:sz w:val="28"/>
          <w:szCs w:val="28"/>
        </w:rPr>
        <w:t xml:space="preserve">est de 263 </w:t>
      </w:r>
      <w:proofErr w:type="spellStart"/>
      <w:r>
        <w:rPr>
          <w:sz w:val="28"/>
          <w:szCs w:val="28"/>
        </w:rPr>
        <w:t>kBq</w:t>
      </w:r>
      <w:proofErr w:type="spellEnd"/>
      <w:r>
        <w:rPr>
          <w:sz w:val="28"/>
          <w:szCs w:val="28"/>
        </w:rPr>
        <w:t xml:space="preserve"> .L’activité  du K40 dans le corps humain est </w:t>
      </w:r>
      <w:r w:rsidR="00A81A37">
        <w:rPr>
          <w:sz w:val="28"/>
          <w:szCs w:val="28"/>
        </w:rPr>
        <w:t xml:space="preserve">donc </w:t>
      </w:r>
      <w:r>
        <w:rPr>
          <w:sz w:val="28"/>
          <w:szCs w:val="28"/>
        </w:rPr>
        <w:t>en moyenne de 5</w:t>
      </w:r>
      <w:r w:rsidR="0025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Bq. </w:t>
      </w:r>
    </w:p>
    <w:p w:rsidR="001B3239" w:rsidRPr="000B5F11" w:rsidRDefault="001B3239" w:rsidP="001B3239">
      <w:pPr>
        <w:rPr>
          <w:sz w:val="28"/>
          <w:szCs w:val="28"/>
        </w:rPr>
      </w:pPr>
      <w:r>
        <w:rPr>
          <w:sz w:val="28"/>
          <w:szCs w:val="28"/>
        </w:rPr>
        <w:t>Elle est bien évidemment impossible à mesurer avec un compteur, le rayonnement</w:t>
      </w:r>
      <w:r w:rsidRPr="0038163B">
        <w:rPr>
          <w:rFonts w:ascii="Symbol" w:hAnsi="Symbol"/>
          <w:sz w:val="28"/>
          <w:szCs w:val="28"/>
        </w:rPr>
        <w:t></w:t>
      </w:r>
      <w:r w:rsidRPr="0038163B">
        <w:rPr>
          <w:rFonts w:ascii="Symbol" w:hAnsi="Symbol"/>
          <w:sz w:val="28"/>
          <w:szCs w:val="28"/>
        </w:rPr>
        <w:t></w:t>
      </w:r>
      <w:r w:rsidRPr="0038163B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étant absorbé par les tissus</w:t>
      </w:r>
      <w:r w:rsidR="00420A04">
        <w:rPr>
          <w:sz w:val="28"/>
          <w:szCs w:val="28"/>
        </w:rPr>
        <w:t>, les liquides corporels et la peau.</w:t>
      </w:r>
    </w:p>
    <w:p w:rsidR="000B5F11" w:rsidRDefault="00420A04" w:rsidP="000B5F11">
      <w:pPr>
        <w:rPr>
          <w:sz w:val="28"/>
          <w:szCs w:val="28"/>
        </w:rPr>
      </w:pPr>
      <w:r>
        <w:rPr>
          <w:sz w:val="28"/>
          <w:szCs w:val="28"/>
        </w:rPr>
        <w:t>Mais le potassium 40 est présent dans tous les composés ioniques qui contiennent du potassium et que l’on trouve facilement au laboratoire</w:t>
      </w:r>
      <w:r w:rsidR="00521866">
        <w:rPr>
          <w:sz w:val="28"/>
          <w:szCs w:val="28"/>
        </w:rPr>
        <w:t>,</w:t>
      </w:r>
      <w:r w:rsidRPr="00420A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>, KNO</w:t>
      </w:r>
      <w:r>
        <w:rPr>
          <w:sz w:val="28"/>
          <w:szCs w:val="28"/>
          <w:vertAlign w:val="subscript"/>
        </w:rPr>
        <w:t>3</w:t>
      </w:r>
      <w:r w:rsidR="00673010">
        <w:rPr>
          <w:sz w:val="28"/>
          <w:szCs w:val="28"/>
        </w:rPr>
        <w:t xml:space="preserve"> …</w:t>
      </w:r>
    </w:p>
    <w:p w:rsidR="009641CD" w:rsidRDefault="009641CD" w:rsidP="000B5F11">
      <w:pPr>
        <w:rPr>
          <w:sz w:val="28"/>
          <w:szCs w:val="28"/>
        </w:rPr>
      </w:pPr>
    </w:p>
    <w:p w:rsidR="00673010" w:rsidRDefault="00253CA0" w:rsidP="000B5F11">
      <w:pPr>
        <w:rPr>
          <w:sz w:val="28"/>
          <w:szCs w:val="28"/>
        </w:rPr>
      </w:pPr>
      <w:r>
        <w:rPr>
          <w:sz w:val="28"/>
          <w:szCs w:val="28"/>
        </w:rPr>
        <w:t>PRINCIPE DE LA MESURE :</w:t>
      </w:r>
    </w:p>
    <w:p w:rsidR="0038163B" w:rsidRDefault="0038163B" w:rsidP="000B5F11">
      <w:pPr>
        <w:rPr>
          <w:sz w:val="28"/>
          <w:szCs w:val="28"/>
        </w:rPr>
      </w:pPr>
      <w:r>
        <w:rPr>
          <w:sz w:val="28"/>
          <w:szCs w:val="28"/>
        </w:rPr>
        <w:t>Pour mettre en évidence la radioactivité due au K40</w:t>
      </w:r>
      <w:r w:rsidR="008A58CC">
        <w:rPr>
          <w:sz w:val="28"/>
          <w:szCs w:val="28"/>
        </w:rPr>
        <w:t xml:space="preserve"> de manière significative</w:t>
      </w:r>
      <w:r>
        <w:rPr>
          <w:sz w:val="28"/>
          <w:szCs w:val="28"/>
        </w:rPr>
        <w:t>, il</w:t>
      </w:r>
      <w:r w:rsidR="00514679">
        <w:rPr>
          <w:sz w:val="28"/>
          <w:szCs w:val="28"/>
        </w:rPr>
        <w:t xml:space="preserve"> est impératif de choisir une durée </w:t>
      </w:r>
      <w:r w:rsidR="008A58CC">
        <w:rPr>
          <w:sz w:val="28"/>
          <w:szCs w:val="28"/>
        </w:rPr>
        <w:t xml:space="preserve">de comptage </w:t>
      </w:r>
      <w:r w:rsidR="00C77C6A">
        <w:rPr>
          <w:sz w:val="28"/>
          <w:szCs w:val="28"/>
        </w:rPr>
        <w:t>importante (</w:t>
      </w:r>
      <w:r w:rsidR="008A58CC">
        <w:rPr>
          <w:sz w:val="28"/>
          <w:szCs w:val="28"/>
        </w:rPr>
        <w:t>500 s minimum</w:t>
      </w:r>
      <w:r w:rsidR="00C77C6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C77C6A">
        <w:rPr>
          <w:sz w:val="28"/>
          <w:szCs w:val="28"/>
        </w:rPr>
        <w:t xml:space="preserve">La mesure nécessite de comparer </w:t>
      </w:r>
      <w:r>
        <w:rPr>
          <w:sz w:val="28"/>
          <w:szCs w:val="28"/>
        </w:rPr>
        <w:t>le bruit de fond</w:t>
      </w:r>
      <w:r w:rsidR="009641CD">
        <w:rPr>
          <w:rStyle w:val="Appelnotedebasdep"/>
          <w:sz w:val="28"/>
          <w:szCs w:val="28"/>
        </w:rPr>
        <w:footnoteReference w:id="2"/>
      </w:r>
      <w:r>
        <w:rPr>
          <w:sz w:val="28"/>
          <w:szCs w:val="28"/>
        </w:rPr>
        <w:t xml:space="preserve">, </w:t>
      </w:r>
      <w:r w:rsidR="00573937">
        <w:rPr>
          <w:sz w:val="28"/>
          <w:szCs w:val="28"/>
        </w:rPr>
        <w:t xml:space="preserve"> au nombre d’impulsions </w:t>
      </w:r>
      <w:r w:rsidR="00C77C6A">
        <w:rPr>
          <w:sz w:val="28"/>
          <w:szCs w:val="28"/>
        </w:rPr>
        <w:t xml:space="preserve">en présence de l’échantillon contenant </w:t>
      </w:r>
      <w:r w:rsidR="00521866">
        <w:rPr>
          <w:sz w:val="28"/>
          <w:szCs w:val="28"/>
        </w:rPr>
        <w:t>du potassium</w:t>
      </w:r>
      <w:r>
        <w:rPr>
          <w:sz w:val="28"/>
          <w:szCs w:val="28"/>
        </w:rPr>
        <w:t>.</w:t>
      </w:r>
      <w:r w:rsidR="008A58CC">
        <w:rPr>
          <w:sz w:val="28"/>
          <w:szCs w:val="28"/>
        </w:rPr>
        <w:t xml:space="preserve"> </w:t>
      </w:r>
    </w:p>
    <w:p w:rsidR="00253CA0" w:rsidRDefault="00253C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7C6A" w:rsidRDefault="00253CA0" w:rsidP="000B5F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PROTOCOLE :</w:t>
      </w:r>
    </w:p>
    <w:p w:rsidR="00583F15" w:rsidRDefault="00583F15" w:rsidP="000B5F11">
      <w:pPr>
        <w:rPr>
          <w:sz w:val="28"/>
          <w:szCs w:val="28"/>
        </w:rPr>
      </w:pPr>
      <w:r>
        <w:rPr>
          <w:sz w:val="28"/>
          <w:szCs w:val="28"/>
        </w:rPr>
        <w:t xml:space="preserve">Constituer des échantillons d’environ 60 g de 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>, KNO</w:t>
      </w:r>
      <w:r w:rsidRPr="00583F1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da</w:t>
      </w:r>
      <w:r w:rsidR="00C77C6A">
        <w:rPr>
          <w:sz w:val="28"/>
          <w:szCs w:val="28"/>
        </w:rPr>
        <w:t>ns de petits sachets plastiques. Il faut s’assurer que l’épaisseur des sachets remplis soit à peu près identique.</w:t>
      </w:r>
    </w:p>
    <w:p w:rsidR="00C77C6A" w:rsidRDefault="00C77C6A" w:rsidP="000B5F11">
      <w:pPr>
        <w:rPr>
          <w:sz w:val="28"/>
          <w:szCs w:val="28"/>
        </w:rPr>
      </w:pPr>
    </w:p>
    <w:p w:rsidR="00673010" w:rsidRDefault="00583F15" w:rsidP="000B5F1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43180</wp:posOffset>
            </wp:positionV>
            <wp:extent cx="1257300" cy="2228215"/>
            <wp:effectExtent l="19050" t="0" r="0" b="0"/>
            <wp:wrapTight wrapText="bothSides">
              <wp:wrapPolygon edited="0">
                <wp:start x="-327" y="0"/>
                <wp:lineTo x="-327" y="21421"/>
                <wp:lineTo x="21600" y="21421"/>
                <wp:lineTo x="21600" y="0"/>
                <wp:lineTo x="-327" y="0"/>
              </wp:wrapPolygon>
            </wp:wrapTight>
            <wp:docPr id="2" name="Image 1" descr="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33020</wp:posOffset>
            </wp:positionV>
            <wp:extent cx="1257300" cy="2238375"/>
            <wp:effectExtent l="19050" t="0" r="0" b="0"/>
            <wp:wrapTight wrapText="bothSides">
              <wp:wrapPolygon edited="0">
                <wp:start x="-327" y="0"/>
                <wp:lineTo x="-327" y="21508"/>
                <wp:lineTo x="21600" y="21508"/>
                <wp:lineTo x="21600" y="0"/>
                <wp:lineTo x="-327" y="0"/>
              </wp:wrapPolygon>
            </wp:wrapTight>
            <wp:docPr id="3" name="Image 2" descr="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13970</wp:posOffset>
            </wp:positionV>
            <wp:extent cx="1266825" cy="2258695"/>
            <wp:effectExtent l="19050" t="0" r="9525" b="0"/>
            <wp:wrapTight wrapText="bothSides">
              <wp:wrapPolygon edited="0">
                <wp:start x="-325" y="0"/>
                <wp:lineTo x="-325" y="21497"/>
                <wp:lineTo x="21762" y="21497"/>
                <wp:lineTo x="21762" y="0"/>
                <wp:lineTo x="-325" y="0"/>
              </wp:wrapPolygon>
            </wp:wrapTight>
            <wp:docPr id="1" name="Image 0" descr="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39" w:rsidRDefault="001B3239">
      <w:pPr>
        <w:rPr>
          <w:sz w:val="28"/>
          <w:szCs w:val="28"/>
        </w:rPr>
      </w:pPr>
    </w:p>
    <w:p w:rsidR="00583F15" w:rsidRDefault="00583F15">
      <w:pPr>
        <w:rPr>
          <w:sz w:val="28"/>
          <w:szCs w:val="28"/>
        </w:rPr>
      </w:pPr>
    </w:p>
    <w:p w:rsidR="00583F15" w:rsidRDefault="00583F15">
      <w:pPr>
        <w:rPr>
          <w:sz w:val="28"/>
          <w:szCs w:val="28"/>
        </w:rPr>
      </w:pPr>
    </w:p>
    <w:p w:rsidR="00583F15" w:rsidRDefault="00583F15">
      <w:pPr>
        <w:rPr>
          <w:sz w:val="28"/>
          <w:szCs w:val="28"/>
        </w:rPr>
      </w:pPr>
    </w:p>
    <w:p w:rsidR="00583F15" w:rsidRDefault="00583F15">
      <w:pPr>
        <w:rPr>
          <w:sz w:val="28"/>
          <w:szCs w:val="28"/>
        </w:rPr>
      </w:pPr>
    </w:p>
    <w:p w:rsidR="00583F15" w:rsidRDefault="00583F15">
      <w:pPr>
        <w:rPr>
          <w:sz w:val="28"/>
          <w:szCs w:val="28"/>
        </w:rPr>
      </w:pPr>
    </w:p>
    <w:p w:rsidR="00253CA0" w:rsidRDefault="00253CA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652145</wp:posOffset>
            </wp:positionV>
            <wp:extent cx="3020695" cy="3419475"/>
            <wp:effectExtent l="19050" t="0" r="8255" b="0"/>
            <wp:wrapTight wrapText="left">
              <wp:wrapPolygon edited="0">
                <wp:start x="-136" y="0"/>
                <wp:lineTo x="-136" y="21540"/>
                <wp:lineTo x="21659" y="21540"/>
                <wp:lineTo x="21659" y="0"/>
                <wp:lineTo x="-136" y="0"/>
              </wp:wrapPolygon>
            </wp:wrapTight>
            <wp:docPr id="4" name="Image 3" descr="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2.JPG"/>
                    <pic:cNvPicPr/>
                  </pic:nvPicPr>
                  <pic:blipFill>
                    <a:blip r:embed="rId12" cstate="print"/>
                    <a:srcRect t="17405" b="18949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C6A">
        <w:rPr>
          <w:sz w:val="28"/>
          <w:szCs w:val="28"/>
        </w:rPr>
        <w:t xml:space="preserve">Régler le temps de comptage du </w:t>
      </w:r>
      <w:r w:rsidR="00583F15">
        <w:rPr>
          <w:sz w:val="28"/>
          <w:szCs w:val="28"/>
        </w:rPr>
        <w:t>C.R.A.B. sur 500 s (ou plus selon le temps disponible)</w:t>
      </w:r>
      <w:r w:rsidR="00C77C6A">
        <w:rPr>
          <w:sz w:val="28"/>
          <w:szCs w:val="28"/>
        </w:rPr>
        <w:t xml:space="preserve">, éloigner toutes </w:t>
      </w:r>
      <w:r>
        <w:rPr>
          <w:sz w:val="28"/>
          <w:szCs w:val="28"/>
        </w:rPr>
        <w:t xml:space="preserve">les </w:t>
      </w:r>
      <w:r w:rsidR="00C77C6A">
        <w:rPr>
          <w:sz w:val="28"/>
          <w:szCs w:val="28"/>
        </w:rPr>
        <w:t>sources radioactives du compteur</w:t>
      </w:r>
      <w:r w:rsidR="00521866">
        <w:rPr>
          <w:sz w:val="28"/>
          <w:szCs w:val="28"/>
        </w:rPr>
        <w:t>.</w:t>
      </w:r>
    </w:p>
    <w:p w:rsidR="0031295C" w:rsidRDefault="0031295C">
      <w:pPr>
        <w:rPr>
          <w:sz w:val="28"/>
          <w:szCs w:val="28"/>
        </w:rPr>
      </w:pPr>
      <w:r>
        <w:rPr>
          <w:sz w:val="28"/>
          <w:szCs w:val="28"/>
        </w:rPr>
        <w:t>Lancer un comptage. Relever le nombre d’impulsions enregistré</w:t>
      </w:r>
      <w:r w:rsidR="00573937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 w:rsidR="00253CA0">
        <w:rPr>
          <w:sz w:val="28"/>
          <w:szCs w:val="28"/>
        </w:rPr>
        <w:t xml:space="preserve">à </w:t>
      </w:r>
      <w:r>
        <w:rPr>
          <w:sz w:val="28"/>
          <w:szCs w:val="28"/>
        </w:rPr>
        <w:t>l’issue de cette durée.</w:t>
      </w:r>
    </w:p>
    <w:p w:rsidR="0031295C" w:rsidRDefault="0031295C">
      <w:pPr>
        <w:rPr>
          <w:sz w:val="28"/>
          <w:szCs w:val="28"/>
        </w:rPr>
      </w:pPr>
      <w:r>
        <w:rPr>
          <w:sz w:val="28"/>
          <w:szCs w:val="28"/>
        </w:rPr>
        <w:t xml:space="preserve">Placer le sachet contenant le 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 xml:space="preserve">  au plus près du tube du compteur et relancer une mesure sur la même durée que pour le bruit de fond. Relever la mesure.</w:t>
      </w:r>
    </w:p>
    <w:p w:rsidR="0031295C" w:rsidRDefault="0031295C">
      <w:pPr>
        <w:rPr>
          <w:sz w:val="28"/>
          <w:szCs w:val="28"/>
        </w:rPr>
      </w:pPr>
      <w:r>
        <w:rPr>
          <w:sz w:val="28"/>
          <w:szCs w:val="28"/>
        </w:rPr>
        <w:t>On peut se limiter à ces deux mesures et évaluer la variation en % en prenant comme référence le bruit de fond.</w:t>
      </w:r>
    </w:p>
    <w:p w:rsidR="0031295C" w:rsidRDefault="0031295C">
      <w:pPr>
        <w:rPr>
          <w:sz w:val="28"/>
          <w:szCs w:val="28"/>
        </w:rPr>
      </w:pPr>
      <w:r>
        <w:rPr>
          <w:sz w:val="28"/>
          <w:szCs w:val="28"/>
        </w:rPr>
        <w:t xml:space="preserve">On peut aussi faire une mesure avec l’échantillon de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 </w:t>
      </w:r>
      <w:r w:rsidR="00573937">
        <w:rPr>
          <w:sz w:val="28"/>
          <w:szCs w:val="28"/>
        </w:rPr>
        <w:t>pour montrer que c’est bien la présence de l’élément potassium qui est la cause du phénomène observé</w:t>
      </w:r>
      <w:r w:rsidR="00AE680E">
        <w:rPr>
          <w:sz w:val="28"/>
          <w:szCs w:val="28"/>
        </w:rPr>
        <w:t>. Puis</w:t>
      </w:r>
      <w:r w:rsidR="00573937">
        <w:rPr>
          <w:sz w:val="28"/>
          <w:szCs w:val="28"/>
        </w:rPr>
        <w:t xml:space="preserve"> une mesure avec une autre substance contenant du potassium, un </w:t>
      </w:r>
      <w:r>
        <w:rPr>
          <w:sz w:val="28"/>
          <w:szCs w:val="28"/>
        </w:rPr>
        <w:t>échantillon de KNO</w:t>
      </w:r>
      <w:r w:rsidRPr="0031295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="00573937">
        <w:rPr>
          <w:sz w:val="28"/>
          <w:szCs w:val="28"/>
        </w:rPr>
        <w:t>par exemple</w:t>
      </w:r>
      <w:r w:rsidR="00761A5A">
        <w:rPr>
          <w:sz w:val="28"/>
          <w:szCs w:val="28"/>
        </w:rPr>
        <w:t>.</w:t>
      </w:r>
    </w:p>
    <w:p w:rsidR="00521866" w:rsidRDefault="005218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1A5A" w:rsidRDefault="00761A5A">
      <w:pPr>
        <w:rPr>
          <w:sz w:val="28"/>
          <w:szCs w:val="28"/>
        </w:rPr>
      </w:pPr>
      <w:r>
        <w:rPr>
          <w:sz w:val="28"/>
          <w:szCs w:val="28"/>
        </w:rPr>
        <w:t xml:space="preserve">Voici </w:t>
      </w:r>
      <w:r w:rsidR="00FC1B08">
        <w:rPr>
          <w:sz w:val="28"/>
          <w:szCs w:val="28"/>
        </w:rPr>
        <w:t>les résultats obtenus lors de deux</w:t>
      </w:r>
      <w:r>
        <w:rPr>
          <w:sz w:val="28"/>
          <w:szCs w:val="28"/>
        </w:rPr>
        <w:t xml:space="preserve"> série</w:t>
      </w:r>
      <w:r w:rsidR="00FC1B08">
        <w:rPr>
          <w:sz w:val="28"/>
          <w:szCs w:val="28"/>
        </w:rPr>
        <w:t>s</w:t>
      </w:r>
      <w:r>
        <w:rPr>
          <w:sz w:val="28"/>
          <w:szCs w:val="28"/>
        </w:rPr>
        <w:t xml:space="preserve"> de mesure</w:t>
      </w:r>
      <w:r w:rsidR="00573937">
        <w:rPr>
          <w:sz w:val="28"/>
          <w:szCs w:val="28"/>
        </w:rPr>
        <w:t>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761A5A" w:rsidTr="00DA6619">
        <w:trPr>
          <w:jc w:val="center"/>
        </w:trPr>
        <w:tc>
          <w:tcPr>
            <w:tcW w:w="2303" w:type="dxa"/>
            <w:vAlign w:val="center"/>
          </w:tcPr>
          <w:p w:rsidR="00761A5A" w:rsidRDefault="00761A5A" w:rsidP="0025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Mesures</w:t>
            </w:r>
          </w:p>
          <w:p w:rsidR="00253CA0" w:rsidRDefault="00253CA0" w:rsidP="0025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500s</w:t>
            </w:r>
          </w:p>
        </w:tc>
        <w:tc>
          <w:tcPr>
            <w:tcW w:w="2303" w:type="dxa"/>
            <w:vAlign w:val="center"/>
          </w:tcPr>
          <w:p w:rsidR="00761A5A" w:rsidRDefault="00761A5A" w:rsidP="0025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d’impulsions</w:t>
            </w:r>
          </w:p>
        </w:tc>
        <w:tc>
          <w:tcPr>
            <w:tcW w:w="2303" w:type="dxa"/>
            <w:vAlign w:val="center"/>
          </w:tcPr>
          <w:p w:rsidR="00761A5A" w:rsidRDefault="00761A5A" w:rsidP="00253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Variation en %</w:t>
            </w:r>
          </w:p>
        </w:tc>
      </w:tr>
      <w:tr w:rsidR="00761A5A" w:rsidTr="00DA6619">
        <w:trPr>
          <w:jc w:val="center"/>
        </w:trPr>
        <w:tc>
          <w:tcPr>
            <w:tcW w:w="2303" w:type="dxa"/>
          </w:tcPr>
          <w:p w:rsidR="00761A5A" w:rsidRDefault="0076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Bruit de fond</w:t>
            </w:r>
          </w:p>
        </w:tc>
        <w:tc>
          <w:tcPr>
            <w:tcW w:w="2303" w:type="dxa"/>
          </w:tcPr>
          <w:p w:rsidR="00761A5A" w:rsidRDefault="00761A5A" w:rsidP="0076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FC1B08">
              <w:rPr>
                <w:sz w:val="28"/>
                <w:szCs w:val="28"/>
              </w:rPr>
              <w:t xml:space="preserve"> / </w:t>
            </w:r>
            <w:r w:rsidR="003F6931">
              <w:rPr>
                <w:sz w:val="28"/>
                <w:szCs w:val="28"/>
              </w:rPr>
              <w:t>142</w:t>
            </w:r>
          </w:p>
        </w:tc>
        <w:tc>
          <w:tcPr>
            <w:tcW w:w="2303" w:type="dxa"/>
          </w:tcPr>
          <w:p w:rsidR="00761A5A" w:rsidRDefault="00761A5A" w:rsidP="0076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761A5A" w:rsidTr="00DA6619">
        <w:trPr>
          <w:jc w:val="center"/>
        </w:trPr>
        <w:tc>
          <w:tcPr>
            <w:tcW w:w="2303" w:type="dxa"/>
          </w:tcPr>
          <w:p w:rsidR="00761A5A" w:rsidRDefault="0076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KCl</w:t>
            </w:r>
          </w:p>
        </w:tc>
        <w:tc>
          <w:tcPr>
            <w:tcW w:w="2303" w:type="dxa"/>
          </w:tcPr>
          <w:p w:rsidR="00761A5A" w:rsidRDefault="00761A5A" w:rsidP="0076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FC1B08">
              <w:rPr>
                <w:sz w:val="28"/>
                <w:szCs w:val="28"/>
              </w:rPr>
              <w:t xml:space="preserve"> / 199</w:t>
            </w:r>
          </w:p>
        </w:tc>
        <w:tc>
          <w:tcPr>
            <w:tcW w:w="2303" w:type="dxa"/>
          </w:tcPr>
          <w:p w:rsidR="00761A5A" w:rsidRDefault="00761A5A" w:rsidP="0076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+47%</w:t>
            </w:r>
          </w:p>
        </w:tc>
      </w:tr>
      <w:tr w:rsidR="00761A5A" w:rsidTr="00DA6619">
        <w:trPr>
          <w:jc w:val="center"/>
        </w:trPr>
        <w:tc>
          <w:tcPr>
            <w:tcW w:w="2303" w:type="dxa"/>
          </w:tcPr>
          <w:p w:rsidR="00761A5A" w:rsidRDefault="0076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</w:t>
            </w:r>
            <w:r w:rsidRPr="00D93BE0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03" w:type="dxa"/>
          </w:tcPr>
          <w:p w:rsidR="00761A5A" w:rsidRDefault="00761A5A" w:rsidP="0076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FC1B08">
              <w:rPr>
                <w:sz w:val="28"/>
                <w:szCs w:val="28"/>
              </w:rPr>
              <w:t xml:space="preserve"> / 171</w:t>
            </w:r>
          </w:p>
        </w:tc>
        <w:tc>
          <w:tcPr>
            <w:tcW w:w="2303" w:type="dxa"/>
          </w:tcPr>
          <w:p w:rsidR="00761A5A" w:rsidRDefault="00761A5A" w:rsidP="0076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+25%</w:t>
            </w:r>
          </w:p>
        </w:tc>
      </w:tr>
      <w:tr w:rsidR="00761A5A" w:rsidTr="00DA6619">
        <w:trPr>
          <w:jc w:val="center"/>
        </w:trPr>
        <w:tc>
          <w:tcPr>
            <w:tcW w:w="2303" w:type="dxa"/>
          </w:tcPr>
          <w:p w:rsidR="00761A5A" w:rsidRDefault="0076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NaCl</w:t>
            </w:r>
            <w:bookmarkStart w:id="0" w:name="_GoBack"/>
            <w:bookmarkEnd w:id="0"/>
          </w:p>
        </w:tc>
        <w:tc>
          <w:tcPr>
            <w:tcW w:w="2303" w:type="dxa"/>
          </w:tcPr>
          <w:p w:rsidR="00761A5A" w:rsidRDefault="00761A5A" w:rsidP="0076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FC1B08">
              <w:rPr>
                <w:sz w:val="28"/>
                <w:szCs w:val="28"/>
              </w:rPr>
              <w:t xml:space="preserve"> / 129</w:t>
            </w:r>
          </w:p>
        </w:tc>
        <w:tc>
          <w:tcPr>
            <w:tcW w:w="2303" w:type="dxa"/>
          </w:tcPr>
          <w:p w:rsidR="00761A5A" w:rsidRDefault="00761A5A" w:rsidP="0076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-3%</w:t>
            </w:r>
          </w:p>
        </w:tc>
      </w:tr>
    </w:tbl>
    <w:p w:rsidR="00253CA0" w:rsidRDefault="00253CA0">
      <w:pPr>
        <w:rPr>
          <w:sz w:val="28"/>
          <w:szCs w:val="28"/>
        </w:rPr>
      </w:pPr>
    </w:p>
    <w:p w:rsidR="00761A5A" w:rsidRDefault="00761A5A">
      <w:pPr>
        <w:rPr>
          <w:sz w:val="28"/>
          <w:szCs w:val="28"/>
        </w:rPr>
      </w:pPr>
      <w:r>
        <w:rPr>
          <w:sz w:val="28"/>
          <w:szCs w:val="28"/>
        </w:rPr>
        <w:t>Les écarts relevés sont</w:t>
      </w:r>
      <w:r w:rsidR="00253CA0">
        <w:rPr>
          <w:sz w:val="28"/>
          <w:szCs w:val="28"/>
        </w:rPr>
        <w:t xml:space="preserve"> assez significatifs </w:t>
      </w:r>
      <w:r w:rsidR="00FC1B08">
        <w:rPr>
          <w:sz w:val="28"/>
          <w:szCs w:val="28"/>
        </w:rPr>
        <w:t xml:space="preserve"> et bien supérieurs aux fluctuations statistiques des mesures</w:t>
      </w:r>
      <w:r w:rsidR="00C3119C">
        <w:rPr>
          <w:rStyle w:val="Appelnotedebasdep"/>
          <w:sz w:val="28"/>
          <w:szCs w:val="28"/>
        </w:rPr>
        <w:footnoteReference w:id="3"/>
      </w:r>
      <w:r w:rsidR="00FC1B08">
        <w:rPr>
          <w:sz w:val="28"/>
          <w:szCs w:val="28"/>
        </w:rPr>
        <w:t xml:space="preserve"> </w:t>
      </w:r>
      <w:r w:rsidR="00253CA0">
        <w:rPr>
          <w:sz w:val="28"/>
          <w:szCs w:val="28"/>
        </w:rPr>
        <w:t>pour permettre de</w:t>
      </w:r>
      <w:r>
        <w:rPr>
          <w:sz w:val="28"/>
          <w:szCs w:val="28"/>
        </w:rPr>
        <w:t xml:space="preserve"> conclure que la présence de potassium dans les échantillons est à l’origine d’une augmentation du rayonnement dé</w:t>
      </w:r>
      <w:r w:rsidR="00521866">
        <w:rPr>
          <w:sz w:val="28"/>
          <w:szCs w:val="28"/>
        </w:rPr>
        <w:t>tecté que l’on peut attribuer à la radioactivité du K40</w:t>
      </w:r>
      <w:r>
        <w:rPr>
          <w:sz w:val="28"/>
          <w:szCs w:val="28"/>
        </w:rPr>
        <w:t>.</w:t>
      </w:r>
    </w:p>
    <w:p w:rsidR="004134B6" w:rsidRDefault="000258CD">
      <w:pPr>
        <w:rPr>
          <w:sz w:val="28"/>
          <w:szCs w:val="28"/>
        </w:rPr>
      </w:pPr>
      <w:r>
        <w:rPr>
          <w:sz w:val="28"/>
          <w:szCs w:val="28"/>
        </w:rPr>
        <w:t xml:space="preserve">Pourquoi l’échantillon de </w:t>
      </w:r>
      <w:r w:rsidR="004134B6">
        <w:rPr>
          <w:sz w:val="28"/>
          <w:szCs w:val="28"/>
        </w:rPr>
        <w:t>KNO</w:t>
      </w:r>
      <w:r w:rsidR="004134B6" w:rsidRPr="003F6FFB">
        <w:rPr>
          <w:sz w:val="28"/>
          <w:szCs w:val="28"/>
          <w:vertAlign w:val="subscript"/>
        </w:rPr>
        <w:t>3</w:t>
      </w:r>
      <w:r w:rsidR="004134B6">
        <w:rPr>
          <w:sz w:val="28"/>
          <w:szCs w:val="28"/>
        </w:rPr>
        <w:t xml:space="preserve"> donne</w:t>
      </w:r>
      <w:r w:rsidR="00AE680E">
        <w:rPr>
          <w:sz w:val="28"/>
          <w:szCs w:val="28"/>
        </w:rPr>
        <w:t>-t-il</w:t>
      </w:r>
      <w:r w:rsidR="004134B6">
        <w:rPr>
          <w:sz w:val="28"/>
          <w:szCs w:val="28"/>
        </w:rPr>
        <w:t xml:space="preserve"> un résultat inférieur au </w:t>
      </w:r>
      <w:proofErr w:type="spellStart"/>
      <w:r w:rsidR="004134B6"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> ?</w:t>
      </w:r>
    </w:p>
    <w:p w:rsidR="004134B6" w:rsidRPr="00C3119C" w:rsidRDefault="004134B6" w:rsidP="000258CD">
      <w:pPr>
        <w:spacing w:after="0"/>
        <w:rPr>
          <w:i/>
        </w:rPr>
      </w:pPr>
      <w:r w:rsidRPr="00C3119C">
        <w:rPr>
          <w:i/>
        </w:rPr>
        <w:t>L’activité est proportionnelle à la constante radioactive et au nombre de noyaux contenus dans l’échantillon.</w:t>
      </w:r>
    </w:p>
    <w:p w:rsidR="004134B6" w:rsidRPr="00C3119C" w:rsidRDefault="004134B6" w:rsidP="000258CD">
      <w:pPr>
        <w:spacing w:after="0"/>
        <w:rPr>
          <w:i/>
        </w:rPr>
      </w:pPr>
      <w:r w:rsidRPr="00C3119C">
        <w:rPr>
          <w:i/>
        </w:rPr>
        <w:t xml:space="preserve">Dans 60 g de </w:t>
      </w:r>
      <w:proofErr w:type="spellStart"/>
      <w:proofErr w:type="gramStart"/>
      <w:r w:rsidRPr="00C3119C">
        <w:rPr>
          <w:i/>
        </w:rPr>
        <w:t>KCl</w:t>
      </w:r>
      <w:proofErr w:type="spellEnd"/>
      <w:r w:rsidRPr="00C3119C">
        <w:rPr>
          <w:i/>
        </w:rPr>
        <w:t xml:space="preserve"> ,</w:t>
      </w:r>
      <w:proofErr w:type="gramEnd"/>
      <w:r w:rsidRPr="00C3119C">
        <w:rPr>
          <w:i/>
        </w:rPr>
        <w:t xml:space="preserve"> il y a 0,8 mol , alors que dans 60 g de KNO</w:t>
      </w:r>
      <w:r w:rsidRPr="00C3119C">
        <w:rPr>
          <w:i/>
          <w:vertAlign w:val="subscript"/>
        </w:rPr>
        <w:t>3</w:t>
      </w:r>
      <w:r w:rsidR="003F6FFB" w:rsidRPr="00C3119C">
        <w:rPr>
          <w:i/>
        </w:rPr>
        <w:t xml:space="preserve"> ,</w:t>
      </w:r>
      <w:r w:rsidRPr="00C3119C">
        <w:rPr>
          <w:i/>
        </w:rPr>
        <w:t xml:space="preserve"> il n’y a que 0,6 mol soit environ  25 % de moins. </w:t>
      </w:r>
      <w:r w:rsidR="003F6FFB" w:rsidRPr="00C3119C">
        <w:rPr>
          <w:i/>
        </w:rPr>
        <w:t xml:space="preserve"> Il est donc normal d’observer une activité inférieure  avec </w:t>
      </w:r>
      <w:r w:rsidR="003F6931" w:rsidRPr="00C3119C">
        <w:rPr>
          <w:i/>
        </w:rPr>
        <w:t xml:space="preserve">l’échantillon de </w:t>
      </w:r>
      <w:proofErr w:type="gramStart"/>
      <w:r w:rsidRPr="00C3119C">
        <w:rPr>
          <w:i/>
        </w:rPr>
        <w:t>KNO</w:t>
      </w:r>
      <w:r w:rsidRPr="00C3119C">
        <w:rPr>
          <w:i/>
          <w:vertAlign w:val="subscript"/>
        </w:rPr>
        <w:t>3</w:t>
      </w:r>
      <w:r w:rsidR="003F6931" w:rsidRPr="00C3119C">
        <w:rPr>
          <w:i/>
        </w:rPr>
        <w:t xml:space="preserve"> </w:t>
      </w:r>
      <w:r w:rsidR="003F6FFB" w:rsidRPr="00C3119C">
        <w:rPr>
          <w:i/>
        </w:rPr>
        <w:t>.</w:t>
      </w:r>
      <w:proofErr w:type="gramEnd"/>
      <w:r w:rsidRPr="00C3119C">
        <w:rPr>
          <w:i/>
        </w:rPr>
        <w:t xml:space="preserve"> </w:t>
      </w:r>
    </w:p>
    <w:p w:rsidR="000258CD" w:rsidRDefault="000258CD" w:rsidP="000258CD">
      <w:pPr>
        <w:spacing w:after="0"/>
        <w:rPr>
          <w:sz w:val="28"/>
          <w:szCs w:val="28"/>
        </w:rPr>
      </w:pPr>
    </w:p>
    <w:p w:rsidR="000258CD" w:rsidRDefault="000258CD">
      <w:pPr>
        <w:rPr>
          <w:sz w:val="28"/>
          <w:szCs w:val="28"/>
        </w:rPr>
      </w:pPr>
      <w:r>
        <w:rPr>
          <w:sz w:val="28"/>
          <w:szCs w:val="28"/>
        </w:rPr>
        <w:t>Pour</w:t>
      </w:r>
      <w:r w:rsidR="00AE680E">
        <w:rPr>
          <w:sz w:val="28"/>
          <w:szCs w:val="28"/>
        </w:rPr>
        <w:t xml:space="preserve">quoi l’échantillon de </w:t>
      </w:r>
      <w:proofErr w:type="spellStart"/>
      <w:r w:rsidR="00AE680E">
        <w:rPr>
          <w:sz w:val="28"/>
          <w:szCs w:val="28"/>
        </w:rPr>
        <w:t>NaCl</w:t>
      </w:r>
      <w:proofErr w:type="spellEnd"/>
      <w:r w:rsidR="00AE680E">
        <w:rPr>
          <w:sz w:val="28"/>
          <w:szCs w:val="28"/>
        </w:rPr>
        <w:t xml:space="preserve"> conduit à une mesure</w:t>
      </w:r>
      <w:r>
        <w:rPr>
          <w:sz w:val="28"/>
          <w:szCs w:val="28"/>
        </w:rPr>
        <w:t xml:space="preserve"> légèrement inférieur</w:t>
      </w:r>
      <w:r w:rsidR="00AE680E">
        <w:rPr>
          <w:sz w:val="28"/>
          <w:szCs w:val="28"/>
        </w:rPr>
        <w:t>e</w:t>
      </w:r>
      <w:r>
        <w:rPr>
          <w:sz w:val="28"/>
          <w:szCs w:val="28"/>
        </w:rPr>
        <w:t xml:space="preserve"> au bruit de fond ?</w:t>
      </w:r>
    </w:p>
    <w:p w:rsidR="000258CD" w:rsidRPr="00C3119C" w:rsidRDefault="00C3119C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NaCl</w:t>
      </w:r>
      <w:proofErr w:type="spellEnd"/>
      <w:r>
        <w:rPr>
          <w:i/>
          <w:sz w:val="24"/>
          <w:szCs w:val="24"/>
        </w:rPr>
        <w:t xml:space="preserve"> n’émet aucun rayonnement, la mesure se résume</w:t>
      </w:r>
      <w:r w:rsidR="00AE680E">
        <w:rPr>
          <w:i/>
          <w:sz w:val="24"/>
          <w:szCs w:val="24"/>
        </w:rPr>
        <w:t xml:space="preserve"> à</w:t>
      </w:r>
      <w:r>
        <w:rPr>
          <w:i/>
          <w:sz w:val="24"/>
          <w:szCs w:val="24"/>
        </w:rPr>
        <w:t xml:space="preserve"> un</w:t>
      </w:r>
      <w:r w:rsidR="00AE680E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mesure du bruit de fond mais l</w:t>
      </w:r>
      <w:r w:rsidR="000258CD" w:rsidRPr="00C3119C">
        <w:rPr>
          <w:i/>
          <w:sz w:val="24"/>
          <w:szCs w:val="24"/>
        </w:rPr>
        <w:t>a présence de l’échantillon devant le tube du compteur absorbe une partie du rayonnement à l’origine du bruit de fond et provenant de l’extérieur.</w:t>
      </w:r>
    </w:p>
    <w:p w:rsidR="00253CA0" w:rsidRDefault="00253CA0">
      <w:pPr>
        <w:rPr>
          <w:sz w:val="28"/>
          <w:szCs w:val="28"/>
        </w:rPr>
      </w:pPr>
      <w:r>
        <w:rPr>
          <w:sz w:val="28"/>
          <w:szCs w:val="28"/>
        </w:rPr>
        <w:t xml:space="preserve">ACTIVITES POSSIBLES </w:t>
      </w:r>
    </w:p>
    <w:p w:rsidR="00D7308E" w:rsidRDefault="00A81A37">
      <w:pPr>
        <w:rPr>
          <w:sz w:val="28"/>
          <w:szCs w:val="28"/>
        </w:rPr>
      </w:pPr>
      <w:r>
        <w:rPr>
          <w:sz w:val="28"/>
          <w:szCs w:val="28"/>
        </w:rPr>
        <w:t>Durant les mesures en TP,  vous pou</w:t>
      </w:r>
      <w:r w:rsidR="00AE680E">
        <w:rPr>
          <w:sz w:val="28"/>
          <w:szCs w:val="28"/>
        </w:rPr>
        <w:t>v</w:t>
      </w:r>
      <w:r w:rsidR="00253CA0">
        <w:rPr>
          <w:sz w:val="28"/>
          <w:szCs w:val="28"/>
        </w:rPr>
        <w:t>ez</w:t>
      </w:r>
      <w:r>
        <w:rPr>
          <w:sz w:val="28"/>
          <w:szCs w:val="28"/>
        </w:rPr>
        <w:t xml:space="preserve"> faire travailler vos élèves sur</w:t>
      </w:r>
      <w:r w:rsidR="00D7308E">
        <w:rPr>
          <w:sz w:val="28"/>
          <w:szCs w:val="28"/>
        </w:rPr>
        <w:t> :</w:t>
      </w:r>
    </w:p>
    <w:p w:rsidR="00D7308E" w:rsidRDefault="00D7308E" w:rsidP="00D730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composition du noyau de potassium 40</w:t>
      </w:r>
    </w:p>
    <w:p w:rsidR="00D7308E" w:rsidRDefault="00D7308E" w:rsidP="00D730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Trouver sa position dans le diagramme (N</w:t>
      </w:r>
      <w:proofErr w:type="gramStart"/>
      <w:r>
        <w:rPr>
          <w:sz w:val="28"/>
          <w:szCs w:val="28"/>
        </w:rPr>
        <w:t>,Z</w:t>
      </w:r>
      <w:proofErr w:type="gramEnd"/>
      <w:r>
        <w:rPr>
          <w:sz w:val="28"/>
          <w:szCs w:val="28"/>
        </w:rPr>
        <w:t>)</w:t>
      </w:r>
    </w:p>
    <w:p w:rsidR="00D7308E" w:rsidRDefault="00D7308E" w:rsidP="00D730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déduire la nature de sa radioactivité et écrire le bilan de sa désintégration.</w:t>
      </w:r>
    </w:p>
    <w:p w:rsidR="00D7308E" w:rsidRDefault="00D7308E" w:rsidP="00D730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Rechercher de la composition isotopique du potassium</w:t>
      </w:r>
    </w:p>
    <w:p w:rsidR="00A81A37" w:rsidRDefault="00D7308E" w:rsidP="00D730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 w:rsidR="00A81A37" w:rsidRPr="00D7308E">
        <w:rPr>
          <w:sz w:val="28"/>
          <w:szCs w:val="28"/>
        </w:rPr>
        <w:t>alcul</w:t>
      </w:r>
      <w:r>
        <w:rPr>
          <w:sz w:val="28"/>
          <w:szCs w:val="28"/>
        </w:rPr>
        <w:t>er</w:t>
      </w:r>
      <w:r w:rsidR="00A81A37" w:rsidRPr="00D7308E">
        <w:rPr>
          <w:sz w:val="28"/>
          <w:szCs w:val="28"/>
        </w:rPr>
        <w:t xml:space="preserve"> la mas</w:t>
      </w:r>
      <w:r w:rsidR="003F6931">
        <w:rPr>
          <w:sz w:val="28"/>
          <w:szCs w:val="28"/>
        </w:rPr>
        <w:t>se molaire du potassium à partir</w:t>
      </w:r>
      <w:r w:rsidR="00A81A37" w:rsidRPr="00D7308E">
        <w:rPr>
          <w:sz w:val="28"/>
          <w:szCs w:val="28"/>
        </w:rPr>
        <w:t xml:space="preserve"> de sa composition isotopique.</w:t>
      </w:r>
    </w:p>
    <w:p w:rsidR="00D7308E" w:rsidRDefault="00D7308E" w:rsidP="00D730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Calculer la masse de K40 présente dans un corps humain</w:t>
      </w:r>
    </w:p>
    <w:p w:rsidR="00D7308E" w:rsidRDefault="00D7308E" w:rsidP="00D7308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Déterminer l’activité qu’il y délivre.</w:t>
      </w:r>
      <w:r w:rsidR="00253CA0">
        <w:rPr>
          <w:sz w:val="28"/>
          <w:szCs w:val="28"/>
        </w:rPr>
        <w:t xml:space="preserve"> (cf. Rappels)</w:t>
      </w:r>
    </w:p>
    <w:p w:rsidR="00D7308E" w:rsidRPr="00D7308E" w:rsidRDefault="00D7308E" w:rsidP="00D7308E">
      <w:pPr>
        <w:pStyle w:val="Paragraphedeliste"/>
        <w:rPr>
          <w:sz w:val="28"/>
          <w:szCs w:val="28"/>
        </w:rPr>
      </w:pPr>
    </w:p>
    <w:sectPr w:rsidR="00D7308E" w:rsidRPr="00D7308E" w:rsidSect="0057393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54" w:rsidRDefault="00202754" w:rsidP="00C3119C">
      <w:pPr>
        <w:spacing w:after="0" w:line="240" w:lineRule="auto"/>
      </w:pPr>
      <w:r>
        <w:separator/>
      </w:r>
    </w:p>
  </w:endnote>
  <w:endnote w:type="continuationSeparator" w:id="0">
    <w:p w:rsidR="00202754" w:rsidRDefault="00202754" w:rsidP="00C3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54" w:rsidRDefault="00202754" w:rsidP="00C3119C">
      <w:pPr>
        <w:spacing w:after="0" w:line="240" w:lineRule="auto"/>
      </w:pPr>
      <w:r>
        <w:separator/>
      </w:r>
    </w:p>
  </w:footnote>
  <w:footnote w:type="continuationSeparator" w:id="0">
    <w:p w:rsidR="00202754" w:rsidRDefault="00202754" w:rsidP="00C3119C">
      <w:pPr>
        <w:spacing w:after="0" w:line="240" w:lineRule="auto"/>
      </w:pPr>
      <w:r>
        <w:continuationSeparator/>
      </w:r>
    </w:p>
  </w:footnote>
  <w:footnote w:id="1">
    <w:p w:rsidR="00D93BE0" w:rsidRDefault="00D93BE0">
      <w:pPr>
        <w:pStyle w:val="Notedebasdepage"/>
      </w:pPr>
      <w:r>
        <w:rPr>
          <w:rStyle w:val="Appelnotedebasdep"/>
        </w:rPr>
        <w:footnoteRef/>
      </w:r>
      <w:r w:rsidR="00521866">
        <w:t xml:space="preserve"> </w:t>
      </w:r>
      <w:r>
        <w:t xml:space="preserve"> Wikipédia / potassium 40</w:t>
      </w:r>
    </w:p>
  </w:footnote>
  <w:footnote w:id="2">
    <w:p w:rsidR="009641CD" w:rsidRDefault="009641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93BE0">
        <w:t xml:space="preserve"> </w:t>
      </w:r>
      <w:r w:rsidR="00D93BE0">
        <w:t>N</w:t>
      </w:r>
      <w:r w:rsidRPr="00D93BE0">
        <w:t>ombre d’impulsions enregistrées par le compteur en absence de toute source radioactive</w:t>
      </w:r>
      <w:r w:rsidR="00D93BE0">
        <w:t>. Cette valeur dépend du rayonnement naturel local (rayons cosmiques, radioactivité naturelle de l’air) mais aussi de l’appareil de mesure lui-même. Les valeurs données à titre d’exemple dans la suite de ce document ne sont donc pas des valeurs de référence absolues.</w:t>
      </w:r>
    </w:p>
  </w:footnote>
  <w:footnote w:id="3">
    <w:p w:rsidR="00C3119C" w:rsidRDefault="00C3119C">
      <w:pPr>
        <w:pStyle w:val="Notedebasdepage"/>
      </w:pPr>
      <w:r>
        <w:rPr>
          <w:rStyle w:val="Appelnotedebasdep"/>
        </w:rPr>
        <w:footnoteRef/>
      </w:r>
      <w:r>
        <w:t xml:space="preserve"> Une dizaine de mesures du brui</w:t>
      </w:r>
      <w:r w:rsidR="00521866">
        <w:t xml:space="preserve">t de fond réalisées antérieurement dans des conditions identiques </w:t>
      </w:r>
      <w:r>
        <w:t>permettrait de  quantifier la valeur moyenne et l’écart</w:t>
      </w:r>
      <w:r w:rsidR="00AE680E">
        <w:t>-</w:t>
      </w:r>
      <w:r>
        <w:t>type avec les élèves.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78A"/>
    <w:multiLevelType w:val="hybridMultilevel"/>
    <w:tmpl w:val="D94490FA"/>
    <w:lvl w:ilvl="0" w:tplc="5836A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F11"/>
    <w:rsid w:val="0001744D"/>
    <w:rsid w:val="000258CD"/>
    <w:rsid w:val="000B5F11"/>
    <w:rsid w:val="001948DE"/>
    <w:rsid w:val="001B3239"/>
    <w:rsid w:val="00202754"/>
    <w:rsid w:val="00253CA0"/>
    <w:rsid w:val="0031295C"/>
    <w:rsid w:val="0038163B"/>
    <w:rsid w:val="003F6931"/>
    <w:rsid w:val="003F6FFB"/>
    <w:rsid w:val="004134B6"/>
    <w:rsid w:val="00420A04"/>
    <w:rsid w:val="00514679"/>
    <w:rsid w:val="00516143"/>
    <w:rsid w:val="00521866"/>
    <w:rsid w:val="00573937"/>
    <w:rsid w:val="00583F15"/>
    <w:rsid w:val="00661D47"/>
    <w:rsid w:val="00673010"/>
    <w:rsid w:val="00761A5A"/>
    <w:rsid w:val="00767B93"/>
    <w:rsid w:val="0086254A"/>
    <w:rsid w:val="0089796D"/>
    <w:rsid w:val="008A58CC"/>
    <w:rsid w:val="008E456B"/>
    <w:rsid w:val="009641CD"/>
    <w:rsid w:val="00997CD4"/>
    <w:rsid w:val="00A81A37"/>
    <w:rsid w:val="00A863A8"/>
    <w:rsid w:val="00AE680E"/>
    <w:rsid w:val="00C3119C"/>
    <w:rsid w:val="00C44E8D"/>
    <w:rsid w:val="00C77C6A"/>
    <w:rsid w:val="00CE3CDB"/>
    <w:rsid w:val="00D013B4"/>
    <w:rsid w:val="00D7308E"/>
    <w:rsid w:val="00D93BE0"/>
    <w:rsid w:val="00DA6619"/>
    <w:rsid w:val="00DF3CDB"/>
    <w:rsid w:val="00E15360"/>
    <w:rsid w:val="00EF4205"/>
    <w:rsid w:val="00F668C6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308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11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11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11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5909-6F15-4137-B661-ED17AE6C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</dc:creator>
  <cp:lastModifiedBy>Laurent</cp:lastModifiedBy>
  <cp:revision>2</cp:revision>
  <dcterms:created xsi:type="dcterms:W3CDTF">2012-10-06T09:59:00Z</dcterms:created>
  <dcterms:modified xsi:type="dcterms:W3CDTF">2012-10-06T09:59:00Z</dcterms:modified>
</cp:coreProperties>
</file>